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061DE" w14:textId="628E81C9" w:rsidR="00EB1F4E" w:rsidRPr="00AC5E5B" w:rsidRDefault="008E1A4F" w:rsidP="00AC5E5B">
      <w:pPr>
        <w:pStyle w:val="Titre"/>
        <w:rPr>
          <w:b/>
          <w:bCs/>
          <w:color w:val="ED7D31" w:themeColor="accent2"/>
        </w:rPr>
      </w:pPr>
      <w:r w:rsidRPr="00AC5E5B">
        <w:rPr>
          <w:b/>
          <w:bCs/>
          <w:color w:val="ED7D31" w:themeColor="accent2"/>
        </w:rPr>
        <w:t xml:space="preserve">Votre assurance </w:t>
      </w:r>
      <w:r w:rsidR="007D0370" w:rsidRPr="00AC5E5B">
        <w:rPr>
          <w:b/>
          <w:bCs/>
          <w:color w:val="ED7D31" w:themeColor="accent2"/>
        </w:rPr>
        <w:t xml:space="preserve">collective </w:t>
      </w:r>
      <w:r w:rsidRPr="00AC5E5B">
        <w:rPr>
          <w:b/>
          <w:bCs/>
          <w:color w:val="ED7D31" w:themeColor="accent2"/>
        </w:rPr>
        <w:t>hospitalisation</w:t>
      </w:r>
    </w:p>
    <w:p w14:paraId="1015F6AE" w14:textId="77777777" w:rsidR="008C6E36" w:rsidRPr="008C6E36" w:rsidRDefault="008C6E36" w:rsidP="008C6E36"/>
    <w:p w14:paraId="5395298B" w14:textId="36C6AF22" w:rsidR="008E1A4F" w:rsidRDefault="008E1A4F">
      <w:r>
        <w:t>Le contrat d’assurance</w:t>
      </w:r>
      <w:r w:rsidR="007D0370">
        <w:t xml:space="preserve"> collective hospitalisation</w:t>
      </w:r>
      <w:r>
        <w:t xml:space="preserve"> </w:t>
      </w:r>
      <w:r w:rsidR="00280692">
        <w:t>Ethias en partenariat avec Medexel</w:t>
      </w:r>
      <w:r>
        <w:t xml:space="preserve"> vient à terme le 31 décembre 202</w:t>
      </w:r>
      <w:r w:rsidR="00280692">
        <w:t>5</w:t>
      </w:r>
      <w:r>
        <w:t>.</w:t>
      </w:r>
    </w:p>
    <w:p w14:paraId="2DBAB49A" w14:textId="40F674D3" w:rsidR="00912804" w:rsidRDefault="008E1A4F" w:rsidP="00AB63CB">
      <w:r>
        <w:t xml:space="preserve">Au terme d’une procédure de marché public, un nouveau contrat a été conclu </w:t>
      </w:r>
      <w:r w:rsidRPr="00910AD8">
        <w:rPr>
          <w:b/>
          <w:bCs/>
        </w:rPr>
        <w:t>avec Ethias</w:t>
      </w:r>
      <w:r w:rsidR="00280692" w:rsidRPr="00910AD8">
        <w:rPr>
          <w:b/>
          <w:bCs/>
        </w:rPr>
        <w:t xml:space="preserve"> </w:t>
      </w:r>
      <w:r w:rsidR="00910AD8" w:rsidRPr="00910AD8">
        <w:rPr>
          <w:b/>
          <w:bCs/>
        </w:rPr>
        <w:t>en gestion propre</w:t>
      </w:r>
      <w:r w:rsidR="00910AD8">
        <w:t xml:space="preserve"> </w:t>
      </w:r>
      <w:r>
        <w:t xml:space="preserve">pour une durée de </w:t>
      </w:r>
      <w:r w:rsidR="00280692">
        <w:t>6</w:t>
      </w:r>
      <w:r>
        <w:t xml:space="preserve"> ans, </w:t>
      </w:r>
      <w:r w:rsidRPr="00910AD8">
        <w:rPr>
          <w:b/>
          <w:bCs/>
        </w:rPr>
        <w:t>du 1</w:t>
      </w:r>
      <w:r w:rsidRPr="00910AD8">
        <w:rPr>
          <w:b/>
          <w:bCs/>
          <w:vertAlign w:val="superscript"/>
        </w:rPr>
        <w:t>er</w:t>
      </w:r>
      <w:r w:rsidRPr="00910AD8">
        <w:rPr>
          <w:b/>
          <w:bCs/>
        </w:rPr>
        <w:t xml:space="preserve"> janvier 202</w:t>
      </w:r>
      <w:r w:rsidR="00280692" w:rsidRPr="00910AD8">
        <w:rPr>
          <w:b/>
          <w:bCs/>
        </w:rPr>
        <w:t>6</w:t>
      </w:r>
      <w:r w:rsidRPr="00910AD8">
        <w:rPr>
          <w:b/>
          <w:bCs/>
        </w:rPr>
        <w:t xml:space="preserve"> au 31 décembre 20</w:t>
      </w:r>
      <w:r w:rsidR="00280692" w:rsidRPr="00910AD8">
        <w:rPr>
          <w:b/>
          <w:bCs/>
        </w:rPr>
        <w:t>31</w:t>
      </w:r>
      <w:r>
        <w:t>.</w:t>
      </w:r>
    </w:p>
    <w:p w14:paraId="693037E2" w14:textId="49EC9F1D" w:rsidR="00AB63CB" w:rsidRPr="00AB63CB" w:rsidRDefault="008E1A4F" w:rsidP="00AB63CB">
      <w:pPr>
        <w:pStyle w:val="Titre2"/>
        <w:rPr>
          <w:b/>
          <w:bCs/>
          <w:color w:val="ED7D31" w:themeColor="accent2"/>
          <w:sz w:val="36"/>
          <w:szCs w:val="36"/>
        </w:rPr>
      </w:pPr>
      <w:r w:rsidRPr="00912804">
        <w:rPr>
          <w:b/>
          <w:bCs/>
          <w:color w:val="ED7D31" w:themeColor="accent2"/>
          <w:sz w:val="36"/>
          <w:szCs w:val="36"/>
        </w:rPr>
        <w:t>Quelles conséquences pour vous ?</w:t>
      </w:r>
    </w:p>
    <w:p w14:paraId="21814975" w14:textId="43B2CF90" w:rsidR="007D0370" w:rsidRPr="001C3DB1" w:rsidRDefault="008E1A4F">
      <w:pPr>
        <w:rPr>
          <w:b/>
          <w:bCs/>
        </w:rPr>
      </w:pPr>
      <w:r w:rsidRPr="003559FB">
        <w:rPr>
          <w:b/>
          <w:bCs/>
        </w:rPr>
        <w:t xml:space="preserve">Vous êtes  affilié au </w:t>
      </w:r>
      <w:r w:rsidR="007D0370" w:rsidRPr="003559FB">
        <w:rPr>
          <w:b/>
          <w:bCs/>
        </w:rPr>
        <w:t>contrat d’assurance</w:t>
      </w:r>
      <w:r w:rsidR="003A7AE7">
        <w:rPr>
          <w:b/>
          <w:bCs/>
        </w:rPr>
        <w:t xml:space="preserve"> collective hospitalisation</w:t>
      </w:r>
      <w:r w:rsidR="008563BA" w:rsidRPr="003559FB">
        <w:rPr>
          <w:b/>
          <w:bCs/>
        </w:rPr>
        <w:t>-</w:t>
      </w:r>
      <w:r w:rsidR="00280692">
        <w:rPr>
          <w:b/>
          <w:bCs/>
        </w:rPr>
        <w:t>Ethias/Medexel</w:t>
      </w:r>
      <w:r w:rsidR="007D0370" w:rsidRPr="003559FB">
        <w:rPr>
          <w:b/>
          <w:bCs/>
        </w:rPr>
        <w:t> ?</w:t>
      </w:r>
    </w:p>
    <w:p w14:paraId="0F4625DF" w14:textId="77777777" w:rsidR="00910AD8" w:rsidRDefault="00910AD8" w:rsidP="00910AD8">
      <w:pPr>
        <w:pStyle w:val="Paragraphedeliste"/>
        <w:numPr>
          <w:ilvl w:val="0"/>
          <w:numId w:val="9"/>
        </w:numPr>
        <w:autoSpaceDE w:val="0"/>
        <w:autoSpaceDN w:val="0"/>
        <w:ind w:left="708"/>
        <w:jc w:val="both"/>
        <w:rPr>
          <w:lang w:eastAsia="nl-BE"/>
        </w:rPr>
      </w:pPr>
      <w:r>
        <w:t>S</w:t>
      </w:r>
      <w:r w:rsidRPr="00530F2D">
        <w:t xml:space="preserve">i vous et les membres de votre famille </w:t>
      </w:r>
      <w:r>
        <w:t>êtes</w:t>
      </w:r>
      <w:r w:rsidRPr="00530F2D">
        <w:t xml:space="preserve"> </w:t>
      </w:r>
      <w:r w:rsidRPr="00150DFC">
        <w:rPr>
          <w:b/>
          <w:bCs/>
        </w:rPr>
        <w:t>déjà affiliés à l'actuelle assurance</w:t>
      </w:r>
      <w:r w:rsidRPr="00530F2D">
        <w:t xml:space="preserve"> </w:t>
      </w:r>
      <w:r w:rsidRPr="00150DFC">
        <w:rPr>
          <w:b/>
          <w:bCs/>
        </w:rPr>
        <w:t xml:space="preserve">hospitalisation </w:t>
      </w:r>
      <w:r w:rsidRPr="00530F2D">
        <w:t xml:space="preserve">d'Ethias/Medexel, </w:t>
      </w:r>
      <w:r w:rsidRPr="00150DFC">
        <w:rPr>
          <w:b/>
          <w:bCs/>
        </w:rPr>
        <w:t>vous n'avez rien à faire</w:t>
      </w:r>
      <w:r w:rsidRPr="00530F2D">
        <w:t>. Votre assurance est automatiquement transférée à</w:t>
      </w:r>
      <w:r w:rsidRPr="001651BF">
        <w:rPr>
          <w:b/>
          <w:bCs/>
        </w:rPr>
        <w:t xml:space="preserve"> Ethias</w:t>
      </w:r>
      <w:r w:rsidRPr="00530F2D">
        <w:t xml:space="preserve">. </w:t>
      </w:r>
    </w:p>
    <w:p w14:paraId="1127824E" w14:textId="77777777" w:rsidR="00910AD8" w:rsidRDefault="00910AD8" w:rsidP="00910AD8">
      <w:pPr>
        <w:pStyle w:val="Paragraphedeliste"/>
        <w:autoSpaceDE w:val="0"/>
        <w:autoSpaceDN w:val="0"/>
        <w:ind w:left="708"/>
        <w:jc w:val="both"/>
      </w:pPr>
    </w:p>
    <w:p w14:paraId="33BE96D8" w14:textId="77777777" w:rsidR="00910AD8" w:rsidRDefault="00910AD8" w:rsidP="00910AD8">
      <w:pPr>
        <w:pStyle w:val="Paragraphedeliste"/>
        <w:autoSpaceDE w:val="0"/>
        <w:autoSpaceDN w:val="0"/>
        <w:ind w:left="708"/>
        <w:jc w:val="both"/>
        <w:rPr>
          <w:lang w:eastAsia="nl-BE"/>
        </w:rPr>
      </w:pPr>
      <w:r w:rsidRPr="00150DFC">
        <w:rPr>
          <w:b/>
          <w:bCs/>
        </w:rPr>
        <w:t>Ethias</w:t>
      </w:r>
      <w:r>
        <w:rPr>
          <w:b/>
          <w:bCs/>
        </w:rPr>
        <w:t xml:space="preserve"> </w:t>
      </w:r>
      <w:r w:rsidRPr="00807CFE">
        <w:t xml:space="preserve">reprend les dossiers ouverts </w:t>
      </w:r>
      <w:r>
        <w:t xml:space="preserve">par Medexel </w:t>
      </w:r>
      <w:r w:rsidRPr="00807CFE">
        <w:t>sur la base de l'assurance collective hospitalisation actuelle et assure la continuité des garanties</w:t>
      </w:r>
      <w:r>
        <w:t xml:space="preserve"> </w:t>
      </w:r>
      <w:r>
        <w:rPr>
          <w:lang w:eastAsia="nl-BE"/>
        </w:rPr>
        <w:t>dont bénéficient les assurés principaux et coassurés à la suite d’une hospitalisation, d’une affection ou d’une maladie survenue avant le 1</w:t>
      </w:r>
      <w:r w:rsidRPr="00150DFC">
        <w:rPr>
          <w:vertAlign w:val="superscript"/>
          <w:lang w:eastAsia="nl-BE"/>
        </w:rPr>
        <w:t>er</w:t>
      </w:r>
      <w:r>
        <w:rPr>
          <w:lang w:eastAsia="nl-BE"/>
        </w:rPr>
        <w:t xml:space="preserve"> janvier 2026, et qui sont couvertes sur base de la police collective actuelle.</w:t>
      </w:r>
    </w:p>
    <w:p w14:paraId="31ADB243" w14:textId="77777777" w:rsidR="00910AD8" w:rsidRDefault="00910AD8" w:rsidP="00910AD8">
      <w:pPr>
        <w:autoSpaceDE w:val="0"/>
        <w:autoSpaceDN w:val="0"/>
        <w:ind w:left="708"/>
        <w:jc w:val="both"/>
        <w:rPr>
          <w:lang w:eastAsia="nl-BE"/>
        </w:rPr>
      </w:pPr>
      <w:r w:rsidRPr="00897A9F">
        <w:rPr>
          <w:lang w:eastAsia="nl-BE"/>
        </w:rPr>
        <w:t>Vous recevrez à votre domicile un courrier explicatif</w:t>
      </w:r>
      <w:r>
        <w:rPr>
          <w:lang w:eastAsia="nl-BE"/>
        </w:rPr>
        <w:t xml:space="preserve"> </w:t>
      </w:r>
      <w:r w:rsidRPr="00897A9F">
        <w:rPr>
          <w:lang w:eastAsia="nl-BE"/>
        </w:rPr>
        <w:t>de la part d’Ethias ainsi que des informations sur le remboursement de vos frais si vous avez un dossier ouvert</w:t>
      </w:r>
      <w:r>
        <w:rPr>
          <w:lang w:eastAsia="nl-BE"/>
        </w:rPr>
        <w:t>.</w:t>
      </w:r>
    </w:p>
    <w:p w14:paraId="6F9C8D5A" w14:textId="77777777" w:rsidR="00910AD8" w:rsidRDefault="00910AD8" w:rsidP="00910AD8">
      <w:pPr>
        <w:pStyle w:val="Paragraphedeliste"/>
      </w:pPr>
      <w:bookmarkStart w:id="0" w:name="_Hlk203399584"/>
      <w:r>
        <w:t>N.B : n’oubliez pas d’informer votre service du personnel en cas de changement d’adresse, de compte bancaire ou de personne à assurer.</w:t>
      </w:r>
    </w:p>
    <w:bookmarkEnd w:id="0"/>
    <w:p w14:paraId="63E7ADCE" w14:textId="77777777" w:rsidR="00910AD8" w:rsidRDefault="00910AD8" w:rsidP="00910AD8">
      <w:pPr>
        <w:pStyle w:val="Paragraphedeliste"/>
      </w:pPr>
    </w:p>
    <w:p w14:paraId="4A039845" w14:textId="77777777" w:rsidR="00910AD8" w:rsidRDefault="00910AD8" w:rsidP="00910AD8">
      <w:pPr>
        <w:pStyle w:val="Paragraphedeliste"/>
        <w:numPr>
          <w:ilvl w:val="0"/>
          <w:numId w:val="9"/>
        </w:numPr>
      </w:pPr>
      <w:r>
        <w:t>Si vo</w:t>
      </w:r>
      <w:r w:rsidRPr="00530F2D">
        <w:t xml:space="preserve">us souhaitez </w:t>
      </w:r>
      <w:r w:rsidRPr="00530F2D">
        <w:rPr>
          <w:b/>
          <w:bCs/>
        </w:rPr>
        <w:t>modifier votre contrat actuel</w:t>
      </w:r>
      <w:r w:rsidRPr="00530F2D">
        <w:t xml:space="preserve"> (passer de la formule de base à la formule étendue ou inversement) ? Remplissez alors le formulaire d'affiliation </w:t>
      </w:r>
      <w:r>
        <w:t xml:space="preserve">et transmettez-le à votre service du personnel </w:t>
      </w:r>
      <w:r w:rsidRPr="00897A9F">
        <w:rPr>
          <w:b/>
          <w:bCs/>
        </w:rPr>
        <w:t>avant le 01.12.2025</w:t>
      </w:r>
      <w:r w:rsidRPr="00897A9F">
        <w:t>.</w:t>
      </w:r>
    </w:p>
    <w:p w14:paraId="06F56025" w14:textId="77777777" w:rsidR="00910AD8" w:rsidRDefault="00910AD8" w:rsidP="00910AD8">
      <w:pPr>
        <w:pStyle w:val="Paragraphedeliste"/>
      </w:pPr>
    </w:p>
    <w:p w14:paraId="4C08EB6B" w14:textId="2B2E50EA" w:rsidR="007D0370" w:rsidRDefault="00910AD8" w:rsidP="007D0370">
      <w:pPr>
        <w:pStyle w:val="Paragraphedeliste"/>
        <w:numPr>
          <w:ilvl w:val="0"/>
          <w:numId w:val="9"/>
        </w:numPr>
      </w:pPr>
      <w:r>
        <w:t xml:space="preserve">Si vous souhaitez </w:t>
      </w:r>
      <w:r w:rsidRPr="00EC6283">
        <w:rPr>
          <w:b/>
          <w:bCs/>
        </w:rPr>
        <w:t>mettre fin à votre</w:t>
      </w:r>
      <w:r w:rsidRPr="00530F2D">
        <w:rPr>
          <w:b/>
          <w:bCs/>
        </w:rPr>
        <w:t xml:space="preserve"> contrat d’assurance </w:t>
      </w:r>
      <w:r>
        <w:rPr>
          <w:b/>
          <w:bCs/>
        </w:rPr>
        <w:t xml:space="preserve">hospitalisation </w:t>
      </w:r>
      <w:r w:rsidRPr="00530F2D">
        <w:rPr>
          <w:b/>
          <w:bCs/>
        </w:rPr>
        <w:t>collective</w:t>
      </w:r>
      <w:r>
        <w:t>,</w:t>
      </w:r>
      <w:r w:rsidRPr="002E3CF2">
        <w:t xml:space="preserve"> </w:t>
      </w:r>
      <w:r>
        <w:t xml:space="preserve">vous devez en informer votre service du personnel </w:t>
      </w:r>
      <w:r w:rsidRPr="00897A9F">
        <w:rPr>
          <w:b/>
          <w:bCs/>
        </w:rPr>
        <w:t>avant le 01.12.2025</w:t>
      </w:r>
      <w:r w:rsidRPr="00897A9F">
        <w:t>.</w:t>
      </w:r>
    </w:p>
    <w:p w14:paraId="7A2EEA44" w14:textId="16635D97" w:rsidR="007D0370" w:rsidRPr="003A7AE7" w:rsidRDefault="007D0370" w:rsidP="007D0370">
      <w:pPr>
        <w:rPr>
          <w:b/>
          <w:bCs/>
        </w:rPr>
      </w:pPr>
      <w:r w:rsidRPr="003A7AE7">
        <w:rPr>
          <w:b/>
          <w:bCs/>
        </w:rPr>
        <w:t>Vous n’êtes pas affilié au contrat d’assurance collective hospitalisation ?</w:t>
      </w:r>
    </w:p>
    <w:p w14:paraId="368F3905" w14:textId="77777777" w:rsidR="00AB63CB" w:rsidRDefault="00AB63CB" w:rsidP="00AB63CB">
      <w:r>
        <w:t xml:space="preserve">Pour souscrire à l’assurance collective hospitalisation, vous devez compléter </w:t>
      </w:r>
      <w:r w:rsidRPr="00727CB8">
        <w:t>le formulaire d’adhésion et le remettre à votre service du personnel.</w:t>
      </w:r>
    </w:p>
    <w:p w14:paraId="2F8B3914" w14:textId="77777777" w:rsidR="00AB63CB" w:rsidRDefault="00AB63CB" w:rsidP="00AB63CB">
      <w:pPr>
        <w:pStyle w:val="Paragraphedeliste"/>
        <w:numPr>
          <w:ilvl w:val="0"/>
          <w:numId w:val="11"/>
        </w:numPr>
      </w:pPr>
      <w:r>
        <w:t>Si vous (ou les membres de votre famille) vous affiliez dans les trois mois qui suivent votre entrée en service, votre assurance hospitalisation prend cours le premier jour du mois qui suit celui de la réception de la demande d'affiliation.</w:t>
      </w:r>
    </w:p>
    <w:p w14:paraId="6B683644" w14:textId="26706599" w:rsidR="00AB63CB" w:rsidRPr="00AC4A59" w:rsidRDefault="00AB63CB" w:rsidP="00AB63CB">
      <w:pPr>
        <w:pStyle w:val="Paragraphedeliste"/>
        <w:numPr>
          <w:ilvl w:val="0"/>
          <w:numId w:val="11"/>
        </w:numPr>
      </w:pPr>
      <w:r>
        <w:t>Si vous adhérez plus tard, l'assurance hospitalisation prend cours à partir du 3ème mois suivant celui de la réception de la demande d'adhésion.</w:t>
      </w:r>
    </w:p>
    <w:p w14:paraId="13F33D55" w14:textId="35D9D1B2" w:rsidR="007D0370" w:rsidRDefault="00D43424" w:rsidP="007D0370">
      <w:r>
        <w:t xml:space="preserve">Pour plus d’informations sur la police d’assurance, consultez </w:t>
      </w:r>
      <w:r w:rsidR="004E7EBD">
        <w:t>l</w:t>
      </w:r>
      <w:r w:rsidR="0011157A">
        <w:t xml:space="preserve">a brochure informative disponible </w:t>
      </w:r>
      <w:r w:rsidR="008A15C2">
        <w:t xml:space="preserve">à partir de septembre </w:t>
      </w:r>
      <w:r w:rsidR="0011157A">
        <w:t xml:space="preserve">sur </w:t>
      </w:r>
      <w:hyperlink r:id="rId7" w:history="1">
        <w:r w:rsidR="0011157A" w:rsidRPr="00A6386B">
          <w:rPr>
            <w:rStyle w:val="Lienhypertexte"/>
          </w:rPr>
          <w:t>le site web du Service social collectif</w:t>
        </w:r>
        <w:r w:rsidR="008B2076" w:rsidRPr="00A6386B">
          <w:rPr>
            <w:rStyle w:val="Lienhypertexte"/>
          </w:rPr>
          <w:t>.</w:t>
        </w:r>
      </w:hyperlink>
      <w:r w:rsidR="00280692">
        <w:t xml:space="preserve">  </w:t>
      </w:r>
    </w:p>
    <w:p w14:paraId="04F5EE93" w14:textId="77777777" w:rsidR="00E74291" w:rsidRDefault="00E74291" w:rsidP="00C31D89">
      <w:pPr>
        <w:pStyle w:val="Titre2"/>
      </w:pPr>
    </w:p>
    <w:p w14:paraId="4EBC3CF1" w14:textId="15A0FAEC" w:rsidR="00280692" w:rsidRPr="00AB63CB" w:rsidRDefault="00C31D89" w:rsidP="00AB63CB">
      <w:pPr>
        <w:pStyle w:val="Titre2"/>
        <w:rPr>
          <w:b/>
          <w:bCs/>
          <w:color w:val="ED7D31" w:themeColor="accent2"/>
          <w:sz w:val="36"/>
          <w:szCs w:val="36"/>
        </w:rPr>
      </w:pPr>
      <w:r w:rsidRPr="006E6842">
        <w:rPr>
          <w:b/>
          <w:bCs/>
          <w:color w:val="ED7D31" w:themeColor="accent2"/>
          <w:sz w:val="36"/>
          <w:szCs w:val="36"/>
        </w:rPr>
        <w:t>Quel</w:t>
      </w:r>
      <w:r w:rsidR="00E74291" w:rsidRPr="006E6842">
        <w:rPr>
          <w:b/>
          <w:bCs/>
          <w:color w:val="ED7D31" w:themeColor="accent2"/>
          <w:sz w:val="36"/>
          <w:szCs w:val="36"/>
        </w:rPr>
        <w:t>les sont les principales modifications par rapport à la couverture actuelle</w:t>
      </w:r>
      <w:r w:rsidRPr="006E6842">
        <w:rPr>
          <w:b/>
          <w:bCs/>
          <w:color w:val="ED7D31" w:themeColor="accent2"/>
          <w:sz w:val="36"/>
          <w:szCs w:val="36"/>
        </w:rPr>
        <w:t> ?</w:t>
      </w:r>
    </w:p>
    <w:p w14:paraId="514746BD" w14:textId="3244D0D1" w:rsidR="00280692" w:rsidRPr="00280692" w:rsidRDefault="00280692" w:rsidP="00280692">
      <w:r>
        <w:t>La couvert</w:t>
      </w:r>
      <w:r w:rsidR="008C38B6">
        <w:t>ur</w:t>
      </w:r>
      <w:r>
        <w:t xml:space="preserve">e est décrite dans la brochure informative disponible </w:t>
      </w:r>
      <w:r w:rsidR="008C38B6">
        <w:t xml:space="preserve">à partir de septembre </w:t>
      </w:r>
      <w:r>
        <w:t xml:space="preserve">sur </w:t>
      </w:r>
      <w:hyperlink r:id="rId8" w:history="1">
        <w:r w:rsidRPr="00A6386B">
          <w:rPr>
            <w:rStyle w:val="Lienhypertexte"/>
          </w:rPr>
          <w:t>le site web du Service social collectif.</w:t>
        </w:r>
      </w:hyperlink>
      <w:r>
        <w:t xml:space="preserve">  </w:t>
      </w:r>
    </w:p>
    <w:p w14:paraId="3B900711" w14:textId="50F78B3E" w:rsidR="006E5D49" w:rsidRDefault="006E5D49" w:rsidP="007D0370">
      <w:r>
        <w:t xml:space="preserve">Voici un aperçu des principales modifications par rapport à la couverture actuelle </w:t>
      </w:r>
      <w:r w:rsidR="002C7549">
        <w:t> :</w:t>
      </w:r>
    </w:p>
    <w:p w14:paraId="57E8E365" w14:textId="7D381B80" w:rsidR="00910AD8" w:rsidRPr="00510CB5" w:rsidRDefault="00910AD8" w:rsidP="00910AD8">
      <w:pPr>
        <w:pStyle w:val="Paragraphedeliste"/>
        <w:numPr>
          <w:ilvl w:val="0"/>
          <w:numId w:val="10"/>
        </w:numPr>
        <w:tabs>
          <w:tab w:val="left" w:pos="5423"/>
        </w:tabs>
        <w:spacing w:before="240" w:after="240"/>
        <w:ind w:left="1428"/>
        <w:rPr>
          <w:rFonts w:eastAsia="MS Mincho"/>
          <w:lang w:val="fr"/>
        </w:rPr>
      </w:pPr>
      <w:r w:rsidRPr="00510CB5">
        <w:rPr>
          <w:rFonts w:eastAsia="MS Mincho"/>
          <w:lang w:val="fr"/>
        </w:rPr>
        <w:t>En cas de maladie grave reconnue, le plafond de remboursement des frais de transport est porté à 300,00 euros par personne et par année civile</w:t>
      </w:r>
      <w:r>
        <w:rPr>
          <w:rFonts w:eastAsia="MS Mincho"/>
          <w:lang w:val="fr"/>
        </w:rPr>
        <w:t xml:space="preserve"> ( au lieu de 250€ actuellement)</w:t>
      </w:r>
    </w:p>
    <w:p w14:paraId="1C686F56" w14:textId="05DF27A7" w:rsidR="00910AD8" w:rsidRPr="006D2FA6" w:rsidRDefault="00910AD8" w:rsidP="00910AD8">
      <w:pPr>
        <w:pStyle w:val="Paragraphedeliste"/>
        <w:numPr>
          <w:ilvl w:val="0"/>
          <w:numId w:val="10"/>
        </w:numPr>
        <w:tabs>
          <w:tab w:val="left" w:pos="5423"/>
        </w:tabs>
        <w:spacing w:before="240" w:after="240"/>
        <w:ind w:left="1428"/>
        <w:rPr>
          <w:rFonts w:eastAsia="MS Mincho"/>
          <w:b/>
          <w:bCs/>
          <w:lang w:val="fr"/>
        </w:rPr>
      </w:pPr>
      <w:r w:rsidRPr="006D2FA6">
        <w:rPr>
          <w:rFonts w:eastAsia="MS Mincho"/>
          <w:lang w:val="fr"/>
        </w:rPr>
        <w:t>L’intervention pour les soins obstétriques est accordée durant une période de douze</w:t>
      </w:r>
      <w:r>
        <w:rPr>
          <w:rFonts w:eastAsia="MS Mincho"/>
          <w:lang w:val="fr"/>
        </w:rPr>
        <w:t xml:space="preserve"> </w:t>
      </w:r>
      <w:r w:rsidRPr="006D2FA6">
        <w:rPr>
          <w:rFonts w:eastAsia="MS Mincho"/>
          <w:lang w:val="fr"/>
        </w:rPr>
        <w:t>jours maximum et à concurrence de 820 €</w:t>
      </w:r>
      <w:r>
        <w:rPr>
          <w:rFonts w:eastAsia="MS Mincho"/>
          <w:lang w:val="fr"/>
        </w:rPr>
        <w:t xml:space="preserve"> </w:t>
      </w:r>
      <w:r w:rsidRPr="006D2FA6">
        <w:rPr>
          <w:rFonts w:eastAsia="MS Mincho"/>
          <w:lang w:val="fr"/>
        </w:rPr>
        <w:t xml:space="preserve"> (au lieu de 620 € actuellement) ;</w:t>
      </w:r>
    </w:p>
    <w:p w14:paraId="6D840151" w14:textId="41B15ED3" w:rsidR="00910AD8" w:rsidRPr="00510CB5" w:rsidRDefault="00910AD8" w:rsidP="00910AD8">
      <w:pPr>
        <w:pStyle w:val="Paragraphedeliste"/>
        <w:numPr>
          <w:ilvl w:val="0"/>
          <w:numId w:val="10"/>
        </w:numPr>
        <w:tabs>
          <w:tab w:val="left" w:pos="5423"/>
        </w:tabs>
        <w:spacing w:before="240" w:after="240"/>
        <w:ind w:left="1428"/>
        <w:rPr>
          <w:rFonts w:eastAsia="MS Mincho"/>
          <w:lang w:val="fr"/>
        </w:rPr>
      </w:pPr>
      <w:r w:rsidRPr="00510CB5">
        <w:rPr>
          <w:rFonts w:eastAsia="MS Mincho"/>
          <w:lang w:val="fr"/>
        </w:rPr>
        <w:t>En cas de maladie grave reconnue, les frais de perruque ou de prothèse mammaire</w:t>
      </w:r>
      <w:r>
        <w:rPr>
          <w:rFonts w:eastAsia="MS Mincho"/>
          <w:lang w:val="fr"/>
        </w:rPr>
        <w:t xml:space="preserve"> </w:t>
      </w:r>
      <w:r w:rsidRPr="00510CB5">
        <w:rPr>
          <w:rFonts w:eastAsia="MS Mincho"/>
          <w:lang w:val="fr"/>
        </w:rPr>
        <w:t>externe sont remboursés à concurrence de 1000,00 euros par prescription</w:t>
      </w:r>
      <w:r>
        <w:rPr>
          <w:rFonts w:eastAsia="MS Mincho"/>
          <w:lang w:val="fr"/>
        </w:rPr>
        <w:t xml:space="preserve"> (</w:t>
      </w:r>
      <w:r w:rsidRPr="006D2FA6">
        <w:rPr>
          <w:rFonts w:eastAsia="MS Mincho"/>
          <w:lang w:val="fr"/>
        </w:rPr>
        <w:t>au lieu de 500€ actuellement</w:t>
      </w:r>
      <w:r>
        <w:rPr>
          <w:rFonts w:eastAsia="MS Mincho"/>
          <w:lang w:val="fr"/>
        </w:rPr>
        <w:t>)</w:t>
      </w:r>
    </w:p>
    <w:p w14:paraId="6A519C5F" w14:textId="29C03A7D" w:rsidR="00910AD8" w:rsidRPr="00910AD8" w:rsidRDefault="00910AD8" w:rsidP="007D0370">
      <w:pPr>
        <w:pStyle w:val="Paragraphedeliste"/>
        <w:numPr>
          <w:ilvl w:val="0"/>
          <w:numId w:val="10"/>
        </w:numPr>
        <w:tabs>
          <w:tab w:val="left" w:pos="5423"/>
        </w:tabs>
        <w:spacing w:before="240" w:after="240"/>
        <w:ind w:left="1428"/>
        <w:rPr>
          <w:rFonts w:eastAsia="MS Mincho"/>
          <w:lang w:val="fr"/>
        </w:rPr>
      </w:pPr>
      <w:r w:rsidRPr="00510CB5">
        <w:rPr>
          <w:rFonts w:eastAsia="MS Mincho"/>
          <w:lang w:val="fr"/>
        </w:rPr>
        <w:t>L’hospitalisation en vue d'un traitement de procréation médicalement assistée (PMA) pour lequel une intervention légale est accordée est également couverte</w:t>
      </w:r>
    </w:p>
    <w:p w14:paraId="6D784FBA" w14:textId="02541AFF" w:rsidR="008B2076" w:rsidRPr="006D2FA6" w:rsidRDefault="007D0370" w:rsidP="006D2FA6">
      <w:pPr>
        <w:pStyle w:val="Titre2"/>
        <w:rPr>
          <w:b/>
          <w:bCs/>
          <w:color w:val="ED7D31" w:themeColor="accent2"/>
          <w:sz w:val="36"/>
          <w:szCs w:val="36"/>
        </w:rPr>
      </w:pPr>
      <w:r w:rsidRPr="00D43424">
        <w:rPr>
          <w:b/>
          <w:bCs/>
          <w:color w:val="ED7D31" w:themeColor="accent2"/>
          <w:sz w:val="36"/>
          <w:szCs w:val="36"/>
        </w:rPr>
        <w:t xml:space="preserve">Quel </w:t>
      </w:r>
      <w:r w:rsidR="0085555A" w:rsidRPr="00D43424">
        <w:rPr>
          <w:b/>
          <w:bCs/>
          <w:color w:val="ED7D31" w:themeColor="accent2"/>
          <w:sz w:val="36"/>
          <w:szCs w:val="36"/>
        </w:rPr>
        <w:t xml:space="preserve">sera </w:t>
      </w:r>
      <w:r w:rsidRPr="00D43424">
        <w:rPr>
          <w:b/>
          <w:bCs/>
          <w:color w:val="ED7D31" w:themeColor="accent2"/>
          <w:sz w:val="36"/>
          <w:szCs w:val="36"/>
        </w:rPr>
        <w:t xml:space="preserve"> le montant </w:t>
      </w:r>
      <w:r w:rsidR="003912CA" w:rsidRPr="00D43424">
        <w:rPr>
          <w:b/>
          <w:bCs/>
          <w:color w:val="ED7D31" w:themeColor="accent2"/>
          <w:sz w:val="36"/>
          <w:szCs w:val="36"/>
        </w:rPr>
        <w:t xml:space="preserve">annuel </w:t>
      </w:r>
      <w:r w:rsidRPr="00D43424">
        <w:rPr>
          <w:b/>
          <w:bCs/>
          <w:color w:val="ED7D31" w:themeColor="accent2"/>
          <w:sz w:val="36"/>
          <w:szCs w:val="36"/>
        </w:rPr>
        <w:t>des primes en 202</w:t>
      </w:r>
      <w:r w:rsidR="00280692">
        <w:rPr>
          <w:b/>
          <w:bCs/>
          <w:color w:val="ED7D31" w:themeColor="accent2"/>
          <w:sz w:val="36"/>
          <w:szCs w:val="36"/>
        </w:rPr>
        <w:t>6</w:t>
      </w:r>
      <w:r w:rsidRPr="00D43424">
        <w:rPr>
          <w:b/>
          <w:bCs/>
          <w:color w:val="ED7D31" w:themeColor="accent2"/>
          <w:sz w:val="36"/>
          <w:szCs w:val="36"/>
        </w:rPr>
        <w:t xml:space="preserve"> et 202</w:t>
      </w:r>
      <w:r w:rsidR="00280692">
        <w:rPr>
          <w:b/>
          <w:bCs/>
          <w:color w:val="ED7D31" w:themeColor="accent2"/>
          <w:sz w:val="36"/>
          <w:szCs w:val="36"/>
        </w:rPr>
        <w:t>7</w:t>
      </w:r>
      <w:r w:rsidRPr="00D43424">
        <w:rPr>
          <w:b/>
          <w:bCs/>
          <w:color w:val="ED7D31" w:themeColor="accent2"/>
          <w:sz w:val="36"/>
          <w:szCs w:val="36"/>
        </w:rPr>
        <w:t> ?</w:t>
      </w:r>
    </w:p>
    <w:p w14:paraId="4028D036" w14:textId="717E63E8" w:rsidR="008B2076" w:rsidRPr="008B2076" w:rsidRDefault="008B2076" w:rsidP="008B2076">
      <w:r>
        <w:t>Le montant dépend de l’âge au 1</w:t>
      </w:r>
      <w:r w:rsidRPr="008B2076">
        <w:rPr>
          <w:vertAlign w:val="superscript"/>
        </w:rPr>
        <w:t>er</w:t>
      </w:r>
      <w:r>
        <w:t xml:space="preserve"> janvier </w:t>
      </w:r>
      <w:r w:rsidR="00D91C3E">
        <w:t>et du choix de la formule : base ou étendue.</w:t>
      </w:r>
    </w:p>
    <w:p w14:paraId="1203086A" w14:textId="77777777" w:rsidR="00D91C3E" w:rsidRDefault="00D91C3E" w:rsidP="00D91C3E">
      <w:r>
        <w:t xml:space="preserve">La formule de base : </w:t>
      </w:r>
    </w:p>
    <w:p w14:paraId="196684CE" w14:textId="669ACCAD" w:rsidR="00D91C3E" w:rsidRDefault="00D91C3E" w:rsidP="00D91C3E">
      <w:pPr>
        <w:pStyle w:val="Paragraphedeliste"/>
        <w:numPr>
          <w:ilvl w:val="0"/>
          <w:numId w:val="2"/>
        </w:numPr>
      </w:pPr>
      <w:r>
        <w:t xml:space="preserve">choix pour une chambre commune </w:t>
      </w:r>
      <w:r w:rsidR="00D90524">
        <w:t>/deux lits</w:t>
      </w:r>
    </w:p>
    <w:p w14:paraId="0D019274" w14:textId="77777777" w:rsidR="00D91C3E" w:rsidRDefault="00D91C3E" w:rsidP="00D91C3E">
      <w:pPr>
        <w:pStyle w:val="Paragraphedeliste"/>
        <w:numPr>
          <w:ilvl w:val="0"/>
          <w:numId w:val="2"/>
        </w:numPr>
      </w:pPr>
      <w:r w:rsidRPr="00BE4548">
        <w:rPr>
          <w:u w:val="single"/>
        </w:rPr>
        <w:t>pas de franchise</w:t>
      </w:r>
      <w:r>
        <w:t xml:space="preserve"> annuelle en cas d’hospitalisation</w:t>
      </w:r>
    </w:p>
    <w:p w14:paraId="105C27C9" w14:textId="77777777" w:rsidR="00D91C3E" w:rsidRDefault="00D91C3E" w:rsidP="00D91C3E">
      <w:r>
        <w:t>La formule étendue :</w:t>
      </w:r>
    </w:p>
    <w:p w14:paraId="3A6F13F9" w14:textId="77777777" w:rsidR="00D91C3E" w:rsidRDefault="00D91C3E" w:rsidP="00D91C3E">
      <w:pPr>
        <w:pStyle w:val="Paragraphedeliste"/>
        <w:numPr>
          <w:ilvl w:val="0"/>
          <w:numId w:val="3"/>
        </w:numPr>
      </w:pPr>
      <w:r>
        <w:t>choix pour une chambre particulière</w:t>
      </w:r>
    </w:p>
    <w:p w14:paraId="0CF22243" w14:textId="209349FA" w:rsidR="002276BA" w:rsidRDefault="00D91C3E" w:rsidP="002276BA">
      <w:pPr>
        <w:pStyle w:val="Paragraphedeliste"/>
        <w:numPr>
          <w:ilvl w:val="0"/>
          <w:numId w:val="3"/>
        </w:numPr>
      </w:pPr>
      <w:r>
        <w:t>franchise annuelle de 250€ par assuré et par année civile</w:t>
      </w:r>
      <w:r w:rsidR="000C5E60">
        <w:t xml:space="preserve"> </w:t>
      </w:r>
      <w:r>
        <w:t>en cas d’hospitalisation sauf pour maladie grave reprise dans la liste.</w:t>
      </w:r>
    </w:p>
    <w:p w14:paraId="396C81DF" w14:textId="77777777" w:rsidR="00AB63CB" w:rsidRDefault="00AB63CB" w:rsidP="00AB63CB">
      <w:pPr>
        <w:pStyle w:val="Paragraphedeliste"/>
      </w:pPr>
    </w:p>
    <w:tbl>
      <w:tblPr>
        <w:tblStyle w:val="Grilledutableau"/>
        <w:tblW w:w="9067" w:type="dxa"/>
        <w:tblLook w:val="04A0" w:firstRow="1" w:lastRow="0" w:firstColumn="1" w:lastColumn="0" w:noHBand="0" w:noVBand="1"/>
      </w:tblPr>
      <w:tblGrid>
        <w:gridCol w:w="3256"/>
        <w:gridCol w:w="2835"/>
        <w:gridCol w:w="2976"/>
      </w:tblGrid>
      <w:tr w:rsidR="004667A5" w:rsidRPr="00D841B8" w14:paraId="0BEB6897" w14:textId="77777777" w:rsidTr="00280692">
        <w:tc>
          <w:tcPr>
            <w:tcW w:w="3256" w:type="dxa"/>
            <w:shd w:val="clear" w:color="auto" w:fill="63A4F7"/>
          </w:tcPr>
          <w:p w14:paraId="45EFBEE4" w14:textId="77777777" w:rsidR="004667A5" w:rsidRPr="00D841B8" w:rsidRDefault="004667A5" w:rsidP="00513AF4">
            <w:pPr>
              <w:ind w:right="142"/>
              <w:jc w:val="both"/>
              <w:rPr>
                <w:rFonts w:cs="Arial"/>
                <w:b/>
                <w:i/>
                <w:szCs w:val="20"/>
                <w:lang w:val="fr-FR"/>
              </w:rPr>
            </w:pPr>
          </w:p>
          <w:p w14:paraId="197B0F2A" w14:textId="77777777" w:rsidR="004667A5" w:rsidRPr="00D841B8" w:rsidRDefault="004667A5" w:rsidP="00513AF4">
            <w:pPr>
              <w:ind w:right="142"/>
              <w:jc w:val="both"/>
              <w:rPr>
                <w:rFonts w:cs="Arial"/>
                <w:b/>
                <w:i/>
                <w:szCs w:val="20"/>
                <w:lang w:val="fr-FR"/>
              </w:rPr>
            </w:pPr>
            <w:r>
              <w:rPr>
                <w:rFonts w:cs="Arial"/>
                <w:b/>
                <w:i/>
                <w:szCs w:val="20"/>
                <w:lang w:val="fr-FR"/>
              </w:rPr>
              <w:t>Assuré principal</w:t>
            </w:r>
          </w:p>
          <w:p w14:paraId="21018C09" w14:textId="77777777" w:rsidR="004667A5" w:rsidRPr="00D841B8" w:rsidRDefault="004667A5" w:rsidP="00513AF4">
            <w:pPr>
              <w:ind w:right="142"/>
              <w:jc w:val="both"/>
              <w:rPr>
                <w:rFonts w:cs="Arial"/>
                <w:b/>
                <w:i/>
                <w:szCs w:val="20"/>
                <w:lang w:val="fr-FR"/>
              </w:rPr>
            </w:pPr>
            <w:r w:rsidRPr="00D841B8">
              <w:rPr>
                <w:rFonts w:cs="Arial"/>
                <w:b/>
                <w:i/>
                <w:szCs w:val="20"/>
                <w:lang w:val="fr-FR"/>
              </w:rPr>
              <w:t>o</w:t>
            </w:r>
            <w:r>
              <w:rPr>
                <w:rFonts w:cs="Arial"/>
                <w:b/>
                <w:i/>
                <w:szCs w:val="20"/>
                <w:lang w:val="fr-FR"/>
              </w:rPr>
              <w:t>u assuré secondaire</w:t>
            </w:r>
          </w:p>
        </w:tc>
        <w:tc>
          <w:tcPr>
            <w:tcW w:w="2835" w:type="dxa"/>
            <w:shd w:val="clear" w:color="auto" w:fill="63A4F7"/>
          </w:tcPr>
          <w:p w14:paraId="5365FD93" w14:textId="77777777" w:rsidR="004667A5" w:rsidRPr="00910AD8" w:rsidRDefault="004667A5" w:rsidP="00513AF4">
            <w:pPr>
              <w:ind w:right="142"/>
              <w:jc w:val="both"/>
              <w:rPr>
                <w:rFonts w:cs="Arial"/>
                <w:b/>
                <w:i/>
                <w:szCs w:val="20"/>
                <w:lang w:val="fr-FR"/>
              </w:rPr>
            </w:pPr>
          </w:p>
          <w:p w14:paraId="0ABDD51C" w14:textId="77777777" w:rsidR="004667A5" w:rsidRPr="00910AD8" w:rsidRDefault="004667A5" w:rsidP="00513AF4">
            <w:pPr>
              <w:ind w:right="142"/>
              <w:jc w:val="both"/>
              <w:rPr>
                <w:rFonts w:cs="Arial"/>
                <w:b/>
                <w:i/>
                <w:szCs w:val="20"/>
                <w:lang w:val="fr-FR"/>
              </w:rPr>
            </w:pPr>
            <w:r w:rsidRPr="00910AD8">
              <w:rPr>
                <w:rFonts w:cs="Arial"/>
                <w:b/>
                <w:i/>
                <w:szCs w:val="20"/>
                <w:lang w:val="fr-FR"/>
              </w:rPr>
              <w:t>Formule de base</w:t>
            </w:r>
          </w:p>
          <w:p w14:paraId="22A9CB0E" w14:textId="77777777" w:rsidR="004667A5" w:rsidRPr="00910AD8" w:rsidRDefault="004667A5" w:rsidP="00513AF4">
            <w:pPr>
              <w:ind w:right="142"/>
              <w:jc w:val="both"/>
              <w:rPr>
                <w:rFonts w:cs="Arial"/>
                <w:b/>
                <w:i/>
                <w:szCs w:val="20"/>
                <w:lang w:val="fr-FR"/>
              </w:rPr>
            </w:pPr>
            <w:r w:rsidRPr="00910AD8">
              <w:rPr>
                <w:rFonts w:cs="Arial"/>
                <w:b/>
                <w:i/>
                <w:szCs w:val="20"/>
                <w:lang w:val="fr-FR"/>
              </w:rPr>
              <w:t>(chambre commune)</w:t>
            </w:r>
          </w:p>
          <w:p w14:paraId="701CA45E" w14:textId="77777777" w:rsidR="00280692" w:rsidRPr="00910AD8" w:rsidRDefault="00280692" w:rsidP="00513AF4">
            <w:pPr>
              <w:ind w:right="142"/>
              <w:jc w:val="both"/>
              <w:rPr>
                <w:rFonts w:cs="Arial"/>
                <w:b/>
                <w:i/>
                <w:szCs w:val="20"/>
                <w:lang w:val="fr-FR"/>
              </w:rPr>
            </w:pPr>
          </w:p>
          <w:p w14:paraId="006734CA" w14:textId="7DCA7591" w:rsidR="00280692" w:rsidRPr="00910AD8" w:rsidRDefault="00D84378" w:rsidP="00513AF4">
            <w:pPr>
              <w:ind w:right="142"/>
              <w:jc w:val="both"/>
              <w:rPr>
                <w:rFonts w:cs="Arial"/>
                <w:b/>
                <w:i/>
                <w:szCs w:val="20"/>
                <w:lang w:val="fr-FR"/>
              </w:rPr>
            </w:pPr>
            <w:r w:rsidRPr="00910AD8">
              <w:rPr>
                <w:rFonts w:cs="Arial"/>
                <w:b/>
                <w:i/>
                <w:szCs w:val="20"/>
                <w:lang w:val="fr-FR"/>
              </w:rPr>
              <w:t>Pas de franchise en chambre commune ou à deux lits</w:t>
            </w:r>
          </w:p>
          <w:p w14:paraId="2FA54B72" w14:textId="58C7E24C" w:rsidR="000E0689" w:rsidRPr="00910AD8" w:rsidRDefault="000E0689" w:rsidP="00513AF4">
            <w:pPr>
              <w:ind w:right="142"/>
              <w:jc w:val="both"/>
              <w:rPr>
                <w:rFonts w:cs="Arial"/>
                <w:b/>
                <w:i/>
                <w:szCs w:val="20"/>
                <w:lang w:val="fr-FR"/>
              </w:rPr>
            </w:pPr>
          </w:p>
        </w:tc>
        <w:tc>
          <w:tcPr>
            <w:tcW w:w="2976" w:type="dxa"/>
            <w:shd w:val="clear" w:color="auto" w:fill="63A4F7"/>
          </w:tcPr>
          <w:p w14:paraId="734C17B2" w14:textId="77777777" w:rsidR="004667A5" w:rsidRPr="00910AD8" w:rsidRDefault="004667A5" w:rsidP="00513AF4">
            <w:pPr>
              <w:ind w:right="142"/>
              <w:jc w:val="both"/>
              <w:rPr>
                <w:rFonts w:cs="Arial"/>
                <w:b/>
                <w:i/>
                <w:szCs w:val="20"/>
                <w:lang w:val="fr-FR"/>
              </w:rPr>
            </w:pPr>
          </w:p>
          <w:p w14:paraId="49360C36" w14:textId="77777777" w:rsidR="004667A5" w:rsidRPr="00910AD8" w:rsidRDefault="004667A5" w:rsidP="00513AF4">
            <w:pPr>
              <w:ind w:right="142"/>
              <w:jc w:val="both"/>
              <w:rPr>
                <w:rFonts w:cs="Arial"/>
                <w:b/>
                <w:i/>
                <w:szCs w:val="20"/>
                <w:lang w:val="fr-FR"/>
              </w:rPr>
            </w:pPr>
            <w:r w:rsidRPr="00910AD8">
              <w:rPr>
                <w:rFonts w:cs="Arial"/>
                <w:b/>
                <w:i/>
                <w:szCs w:val="20"/>
                <w:lang w:val="fr-FR"/>
              </w:rPr>
              <w:t>Formule étendue</w:t>
            </w:r>
          </w:p>
          <w:p w14:paraId="397F59E5" w14:textId="77777777" w:rsidR="004667A5" w:rsidRPr="00910AD8" w:rsidRDefault="004667A5" w:rsidP="00513AF4">
            <w:pPr>
              <w:ind w:right="142"/>
              <w:jc w:val="both"/>
              <w:rPr>
                <w:rFonts w:cs="Arial"/>
                <w:b/>
                <w:i/>
                <w:szCs w:val="20"/>
                <w:lang w:val="fr-FR"/>
              </w:rPr>
            </w:pPr>
            <w:r w:rsidRPr="00910AD8">
              <w:rPr>
                <w:rFonts w:cs="Arial"/>
                <w:b/>
                <w:i/>
                <w:szCs w:val="20"/>
                <w:lang w:val="fr-FR"/>
              </w:rPr>
              <w:t>(chambre individuelle)</w:t>
            </w:r>
          </w:p>
          <w:p w14:paraId="37C8C308" w14:textId="77777777" w:rsidR="004667A5" w:rsidRPr="00910AD8" w:rsidRDefault="004667A5" w:rsidP="00513AF4">
            <w:pPr>
              <w:ind w:right="142"/>
              <w:jc w:val="both"/>
              <w:rPr>
                <w:rFonts w:cs="Arial"/>
                <w:b/>
                <w:i/>
                <w:szCs w:val="20"/>
                <w:lang w:val="fr-FR"/>
              </w:rPr>
            </w:pPr>
          </w:p>
          <w:p w14:paraId="65A87DB5" w14:textId="58A2B954" w:rsidR="00280692" w:rsidRPr="00910AD8" w:rsidRDefault="00D84378" w:rsidP="00513AF4">
            <w:pPr>
              <w:ind w:right="142"/>
              <w:jc w:val="both"/>
              <w:rPr>
                <w:rFonts w:cs="Arial"/>
                <w:b/>
                <w:i/>
                <w:szCs w:val="20"/>
                <w:lang w:val="fr-FR"/>
              </w:rPr>
            </w:pPr>
            <w:r w:rsidRPr="00910AD8">
              <w:rPr>
                <w:rFonts w:cs="Arial"/>
                <w:b/>
                <w:i/>
                <w:szCs w:val="20"/>
                <w:lang w:val="fr-FR"/>
              </w:rPr>
              <w:t>Franchise 250€ par an par assuré en chambre particulière</w:t>
            </w:r>
          </w:p>
        </w:tc>
      </w:tr>
      <w:tr w:rsidR="003351CC" w:rsidRPr="00D841B8" w14:paraId="016E4251" w14:textId="77777777" w:rsidTr="00513AF4">
        <w:tc>
          <w:tcPr>
            <w:tcW w:w="3256" w:type="dxa"/>
          </w:tcPr>
          <w:p w14:paraId="6118288B" w14:textId="77777777" w:rsidR="003351CC" w:rsidRPr="00D841B8" w:rsidRDefault="003351CC" w:rsidP="003351CC">
            <w:pPr>
              <w:ind w:right="142"/>
              <w:jc w:val="both"/>
              <w:rPr>
                <w:rFonts w:cs="Arial"/>
                <w:szCs w:val="20"/>
                <w:lang w:val="fr-FR"/>
              </w:rPr>
            </w:pPr>
            <w:r w:rsidRPr="00D841B8">
              <w:rPr>
                <w:rFonts w:cs="Arial"/>
                <w:szCs w:val="20"/>
                <w:lang w:val="fr-FR"/>
              </w:rPr>
              <w:t xml:space="preserve">0 </w:t>
            </w:r>
            <w:r>
              <w:rPr>
                <w:rFonts w:cs="Arial"/>
                <w:szCs w:val="20"/>
                <w:lang w:val="fr-FR"/>
              </w:rPr>
              <w:t>à</w:t>
            </w:r>
            <w:r w:rsidRPr="00D841B8">
              <w:rPr>
                <w:rFonts w:cs="Arial"/>
                <w:szCs w:val="20"/>
                <w:lang w:val="fr-FR"/>
              </w:rPr>
              <w:t xml:space="preserve"> 20 </w:t>
            </w:r>
            <w:r>
              <w:rPr>
                <w:rFonts w:cs="Arial"/>
                <w:szCs w:val="20"/>
                <w:lang w:val="fr-FR"/>
              </w:rPr>
              <w:t>ans</w:t>
            </w:r>
          </w:p>
        </w:tc>
        <w:tc>
          <w:tcPr>
            <w:tcW w:w="2835" w:type="dxa"/>
          </w:tcPr>
          <w:p w14:paraId="76D84578" w14:textId="2765F755" w:rsidR="003351CC" w:rsidRPr="00910AD8" w:rsidRDefault="00280692" w:rsidP="003351CC">
            <w:pPr>
              <w:ind w:right="142"/>
              <w:jc w:val="center"/>
              <w:rPr>
                <w:rFonts w:cs="Arial"/>
                <w:szCs w:val="20"/>
                <w:lang w:val="fr-FR"/>
              </w:rPr>
            </w:pPr>
            <w:r w:rsidRPr="00910AD8">
              <w:rPr>
                <w:rFonts w:cs="Arial"/>
                <w:szCs w:val="20"/>
                <w:lang w:val="fr-FR"/>
              </w:rPr>
              <w:t>48,83 €</w:t>
            </w:r>
          </w:p>
        </w:tc>
        <w:tc>
          <w:tcPr>
            <w:tcW w:w="2976" w:type="dxa"/>
          </w:tcPr>
          <w:p w14:paraId="61EDF8CA" w14:textId="7D5C88AC" w:rsidR="003351CC" w:rsidRPr="00910AD8" w:rsidRDefault="006B13A1" w:rsidP="003351CC">
            <w:pPr>
              <w:ind w:right="142"/>
              <w:jc w:val="center"/>
              <w:rPr>
                <w:rFonts w:cs="Arial"/>
                <w:szCs w:val="20"/>
                <w:lang w:val="fr-FR"/>
              </w:rPr>
            </w:pPr>
            <w:r w:rsidRPr="00910AD8">
              <w:rPr>
                <w:rFonts w:cs="Arial"/>
                <w:szCs w:val="20"/>
                <w:lang w:val="fr-FR"/>
              </w:rPr>
              <w:t>89,01 €</w:t>
            </w:r>
          </w:p>
        </w:tc>
      </w:tr>
      <w:tr w:rsidR="003351CC" w:rsidRPr="00D841B8" w14:paraId="55E161CC" w14:textId="77777777" w:rsidTr="00513AF4">
        <w:tc>
          <w:tcPr>
            <w:tcW w:w="3256" w:type="dxa"/>
          </w:tcPr>
          <w:p w14:paraId="7DF2C43C" w14:textId="77777777" w:rsidR="003351CC" w:rsidRPr="00D841B8" w:rsidRDefault="003351CC" w:rsidP="003351CC">
            <w:pPr>
              <w:ind w:right="142"/>
              <w:jc w:val="both"/>
              <w:rPr>
                <w:rFonts w:cs="Arial"/>
                <w:szCs w:val="20"/>
                <w:lang w:val="fr-FR"/>
              </w:rPr>
            </w:pPr>
            <w:r w:rsidRPr="00D841B8">
              <w:rPr>
                <w:rFonts w:cs="Arial"/>
                <w:szCs w:val="20"/>
                <w:lang w:val="fr-FR"/>
              </w:rPr>
              <w:t xml:space="preserve">21 </w:t>
            </w:r>
            <w:r>
              <w:rPr>
                <w:rFonts w:cs="Arial"/>
                <w:szCs w:val="20"/>
                <w:lang w:val="fr-FR"/>
              </w:rPr>
              <w:t>à</w:t>
            </w:r>
            <w:r w:rsidRPr="00D841B8">
              <w:rPr>
                <w:rFonts w:cs="Arial"/>
                <w:szCs w:val="20"/>
                <w:lang w:val="fr-FR"/>
              </w:rPr>
              <w:t xml:space="preserve"> 49 </w:t>
            </w:r>
            <w:r>
              <w:rPr>
                <w:rFonts w:cs="Arial"/>
                <w:szCs w:val="20"/>
                <w:lang w:val="fr-FR"/>
              </w:rPr>
              <w:t>ans</w:t>
            </w:r>
          </w:p>
        </w:tc>
        <w:tc>
          <w:tcPr>
            <w:tcW w:w="2835" w:type="dxa"/>
          </w:tcPr>
          <w:p w14:paraId="655F3572" w14:textId="74E548F8" w:rsidR="003351CC" w:rsidRPr="00910AD8" w:rsidRDefault="00280692" w:rsidP="003351CC">
            <w:pPr>
              <w:ind w:right="142"/>
              <w:jc w:val="center"/>
              <w:rPr>
                <w:rFonts w:cs="Arial"/>
                <w:szCs w:val="20"/>
                <w:lang w:val="fr-FR"/>
              </w:rPr>
            </w:pPr>
            <w:r w:rsidRPr="00910AD8">
              <w:rPr>
                <w:rFonts w:cs="Arial"/>
                <w:szCs w:val="20"/>
                <w:lang w:val="fr-FR"/>
              </w:rPr>
              <w:t>112,20 €</w:t>
            </w:r>
          </w:p>
        </w:tc>
        <w:tc>
          <w:tcPr>
            <w:tcW w:w="2976" w:type="dxa"/>
          </w:tcPr>
          <w:p w14:paraId="10924157" w14:textId="6FE5932C" w:rsidR="003351CC" w:rsidRPr="00910AD8" w:rsidRDefault="006B13A1" w:rsidP="003351CC">
            <w:pPr>
              <w:ind w:right="142"/>
              <w:jc w:val="center"/>
              <w:rPr>
                <w:rFonts w:cs="Arial"/>
                <w:szCs w:val="20"/>
                <w:lang w:val="fr-FR"/>
              </w:rPr>
            </w:pPr>
            <w:r w:rsidRPr="00910AD8">
              <w:rPr>
                <w:rFonts w:cs="Arial"/>
                <w:szCs w:val="20"/>
                <w:lang w:val="fr-FR"/>
              </w:rPr>
              <w:t>212,11 €</w:t>
            </w:r>
          </w:p>
        </w:tc>
      </w:tr>
      <w:tr w:rsidR="003351CC" w:rsidRPr="00D841B8" w14:paraId="5863F3D9" w14:textId="77777777" w:rsidTr="00513AF4">
        <w:tc>
          <w:tcPr>
            <w:tcW w:w="3256" w:type="dxa"/>
          </w:tcPr>
          <w:p w14:paraId="4271BBFB" w14:textId="77777777" w:rsidR="003351CC" w:rsidRPr="00D841B8" w:rsidRDefault="003351CC" w:rsidP="003351CC">
            <w:pPr>
              <w:ind w:right="142"/>
              <w:jc w:val="both"/>
              <w:rPr>
                <w:rFonts w:cs="Arial"/>
                <w:szCs w:val="20"/>
                <w:lang w:val="fr-FR"/>
              </w:rPr>
            </w:pPr>
            <w:r w:rsidRPr="00D841B8">
              <w:rPr>
                <w:rFonts w:cs="Arial"/>
                <w:szCs w:val="20"/>
                <w:lang w:val="fr-FR"/>
              </w:rPr>
              <w:t xml:space="preserve">50 </w:t>
            </w:r>
            <w:r>
              <w:rPr>
                <w:rFonts w:cs="Arial"/>
                <w:szCs w:val="20"/>
                <w:lang w:val="fr-FR"/>
              </w:rPr>
              <w:t>à</w:t>
            </w:r>
            <w:r w:rsidRPr="00D841B8">
              <w:rPr>
                <w:rFonts w:cs="Arial"/>
                <w:szCs w:val="20"/>
                <w:lang w:val="fr-FR"/>
              </w:rPr>
              <w:t xml:space="preserve"> 6</w:t>
            </w:r>
            <w:r>
              <w:rPr>
                <w:rFonts w:cs="Arial"/>
                <w:szCs w:val="20"/>
                <w:lang w:val="fr-FR"/>
              </w:rPr>
              <w:t>6</w:t>
            </w:r>
            <w:r w:rsidRPr="00D841B8">
              <w:rPr>
                <w:rFonts w:cs="Arial"/>
                <w:szCs w:val="20"/>
                <w:lang w:val="fr-FR"/>
              </w:rPr>
              <w:t xml:space="preserve"> </w:t>
            </w:r>
            <w:r>
              <w:rPr>
                <w:rFonts w:cs="Arial"/>
                <w:szCs w:val="20"/>
                <w:lang w:val="fr-FR"/>
              </w:rPr>
              <w:t>ans</w:t>
            </w:r>
          </w:p>
        </w:tc>
        <w:tc>
          <w:tcPr>
            <w:tcW w:w="2835" w:type="dxa"/>
          </w:tcPr>
          <w:p w14:paraId="2045631A" w14:textId="7AF79D3B" w:rsidR="003351CC" w:rsidRPr="00910AD8" w:rsidRDefault="006B13A1" w:rsidP="003351CC">
            <w:pPr>
              <w:ind w:right="142"/>
              <w:jc w:val="center"/>
              <w:rPr>
                <w:rFonts w:cs="Arial"/>
                <w:szCs w:val="20"/>
                <w:lang w:val="fr-FR"/>
              </w:rPr>
            </w:pPr>
            <w:r w:rsidRPr="00910AD8">
              <w:rPr>
                <w:rFonts w:cs="Arial"/>
                <w:szCs w:val="20"/>
                <w:lang w:val="fr-FR"/>
              </w:rPr>
              <w:t>201,76 €</w:t>
            </w:r>
          </w:p>
        </w:tc>
        <w:tc>
          <w:tcPr>
            <w:tcW w:w="2976" w:type="dxa"/>
          </w:tcPr>
          <w:p w14:paraId="20F7AAE6" w14:textId="51F06CF3" w:rsidR="003351CC" w:rsidRPr="00910AD8" w:rsidRDefault="006B13A1" w:rsidP="003351CC">
            <w:pPr>
              <w:ind w:right="142"/>
              <w:jc w:val="center"/>
              <w:rPr>
                <w:rFonts w:cs="Arial"/>
                <w:szCs w:val="20"/>
                <w:lang w:val="fr-FR"/>
              </w:rPr>
            </w:pPr>
            <w:r w:rsidRPr="00910AD8">
              <w:rPr>
                <w:rFonts w:cs="Arial"/>
                <w:szCs w:val="20"/>
                <w:lang w:val="fr-FR"/>
              </w:rPr>
              <w:t>400,44 €</w:t>
            </w:r>
          </w:p>
        </w:tc>
      </w:tr>
      <w:tr w:rsidR="003351CC" w:rsidRPr="00D841B8" w14:paraId="3E7398CF" w14:textId="77777777" w:rsidTr="00513AF4">
        <w:tc>
          <w:tcPr>
            <w:tcW w:w="3256" w:type="dxa"/>
          </w:tcPr>
          <w:p w14:paraId="0D8EB1D0" w14:textId="77777777" w:rsidR="003351CC" w:rsidRPr="00D841B8" w:rsidRDefault="003351CC" w:rsidP="003351CC">
            <w:pPr>
              <w:ind w:right="142"/>
              <w:jc w:val="both"/>
              <w:rPr>
                <w:rFonts w:cs="Arial"/>
                <w:szCs w:val="20"/>
                <w:lang w:val="fr-FR"/>
              </w:rPr>
            </w:pPr>
            <w:r>
              <w:rPr>
                <w:rFonts w:cs="Arial"/>
                <w:szCs w:val="20"/>
                <w:lang w:val="fr-FR"/>
              </w:rPr>
              <w:t>A partir de 67 ans</w:t>
            </w:r>
          </w:p>
        </w:tc>
        <w:tc>
          <w:tcPr>
            <w:tcW w:w="2835" w:type="dxa"/>
          </w:tcPr>
          <w:p w14:paraId="36483435" w14:textId="1B9F392B" w:rsidR="003351CC" w:rsidRPr="00910AD8" w:rsidRDefault="006B13A1" w:rsidP="003351CC">
            <w:pPr>
              <w:ind w:right="142"/>
              <w:jc w:val="center"/>
              <w:rPr>
                <w:rFonts w:cs="Arial"/>
                <w:szCs w:val="20"/>
                <w:lang w:val="fr-FR"/>
              </w:rPr>
            </w:pPr>
            <w:r w:rsidRPr="00910AD8">
              <w:rPr>
                <w:rFonts w:cs="Arial"/>
                <w:szCs w:val="20"/>
                <w:lang w:val="fr-FR"/>
              </w:rPr>
              <w:t>470.04 €</w:t>
            </w:r>
          </w:p>
        </w:tc>
        <w:tc>
          <w:tcPr>
            <w:tcW w:w="2976" w:type="dxa"/>
          </w:tcPr>
          <w:p w14:paraId="0B079F36" w14:textId="2B734BB7" w:rsidR="003351CC" w:rsidRPr="00910AD8" w:rsidRDefault="006B13A1" w:rsidP="003351CC">
            <w:pPr>
              <w:ind w:right="142"/>
              <w:jc w:val="center"/>
              <w:rPr>
                <w:rFonts w:cs="Arial"/>
                <w:szCs w:val="20"/>
                <w:lang w:val="fr-FR"/>
              </w:rPr>
            </w:pPr>
            <w:r w:rsidRPr="00910AD8">
              <w:rPr>
                <w:rFonts w:cs="Arial"/>
                <w:szCs w:val="20"/>
                <w:lang w:val="fr-FR"/>
              </w:rPr>
              <w:t>917,88 €</w:t>
            </w:r>
          </w:p>
        </w:tc>
      </w:tr>
    </w:tbl>
    <w:p w14:paraId="3FA29F05" w14:textId="04606113" w:rsidR="002276BA" w:rsidRDefault="002276BA" w:rsidP="002276BA"/>
    <w:p w14:paraId="13241551" w14:textId="77777777" w:rsidR="006D2FA6" w:rsidRDefault="006D2FA6" w:rsidP="002276BA">
      <w:pPr>
        <w:rPr>
          <w:rFonts w:asciiTheme="majorHAnsi" w:eastAsiaTheme="majorEastAsia" w:hAnsiTheme="majorHAnsi" w:cstheme="majorBidi"/>
          <w:b/>
          <w:bCs/>
          <w:color w:val="ED7D31" w:themeColor="accent2"/>
          <w:sz w:val="36"/>
          <w:szCs w:val="36"/>
        </w:rPr>
      </w:pPr>
    </w:p>
    <w:p w14:paraId="21C96102" w14:textId="3C047C5F" w:rsidR="006B13A1" w:rsidRDefault="006B13A1" w:rsidP="002276BA">
      <w:pPr>
        <w:rPr>
          <w:rFonts w:asciiTheme="majorHAnsi" w:eastAsiaTheme="majorEastAsia" w:hAnsiTheme="majorHAnsi" w:cstheme="majorBidi"/>
          <w:b/>
          <w:bCs/>
          <w:color w:val="ED7D31" w:themeColor="accent2"/>
          <w:sz w:val="36"/>
          <w:szCs w:val="36"/>
        </w:rPr>
      </w:pPr>
      <w:r w:rsidRPr="006B13A1">
        <w:rPr>
          <w:rFonts w:asciiTheme="majorHAnsi" w:eastAsiaTheme="majorEastAsia" w:hAnsiTheme="majorHAnsi" w:cstheme="majorBidi"/>
          <w:b/>
          <w:bCs/>
          <w:color w:val="ED7D31" w:themeColor="accent2"/>
          <w:sz w:val="36"/>
          <w:szCs w:val="36"/>
        </w:rPr>
        <w:lastRenderedPageBreak/>
        <w:t>NOUVEAUTE</w:t>
      </w:r>
      <w:r w:rsidR="006D2FA6">
        <w:rPr>
          <w:rFonts w:asciiTheme="majorHAnsi" w:eastAsiaTheme="majorEastAsia" w:hAnsiTheme="majorHAnsi" w:cstheme="majorBidi"/>
          <w:b/>
          <w:bCs/>
          <w:color w:val="ED7D31" w:themeColor="accent2"/>
          <w:sz w:val="36"/>
          <w:szCs w:val="36"/>
        </w:rPr>
        <w:t> : plan des frais ambulatoires et plan des frais dentaires</w:t>
      </w:r>
    </w:p>
    <w:p w14:paraId="5B66B241" w14:textId="3421ADCF" w:rsidR="00AB63CB" w:rsidRDefault="00AB63CB" w:rsidP="00AB63CB">
      <w:r>
        <w:t xml:space="preserve">Si vous avez souscrit à l’assurance hospitalisation collective, vous avez la possibilité de vous affilier à un plan de soins complémentaires : plan de frais ambulatoires </w:t>
      </w:r>
      <w:r w:rsidR="00D72D15">
        <w:t xml:space="preserve">( qui inclut les soins dentaires) </w:t>
      </w:r>
      <w:r>
        <w:t>ou un plan de soins dentaires.</w:t>
      </w:r>
    </w:p>
    <w:p w14:paraId="0DD15DDA" w14:textId="77777777" w:rsidR="00AB63CB" w:rsidRDefault="00AB63CB" w:rsidP="00AB63CB">
      <w:r>
        <w:t xml:space="preserve">Cette affiliation ne concerne que les membres actifs du personnel et les personnes qui peuvent adhérer en tant qu’assuré secondaire. Les agents retraités et leurs assurés secondaires ne sont pas visés par ces régimes de soins complémentaires. </w:t>
      </w:r>
    </w:p>
    <w:p w14:paraId="4652989E" w14:textId="180F943F" w:rsidR="006D2FA6" w:rsidRDefault="006D2FA6" w:rsidP="002276BA">
      <w:r>
        <w:t xml:space="preserve">L'ensemble du processus administratif concernant les plans de soins se déroule exclusivement </w:t>
      </w:r>
      <w:r w:rsidR="008D01DD">
        <w:t>entre vous et Ethias.</w:t>
      </w:r>
      <w:r>
        <w:t xml:space="preserve"> Toute la correspondance et les contacts ont lieu sur une base individuelle.</w:t>
      </w:r>
    </w:p>
    <w:p w14:paraId="74896B78" w14:textId="77777777" w:rsidR="00E15D9A" w:rsidRPr="00796D78" w:rsidRDefault="00E15D9A" w:rsidP="00E15D9A">
      <w:pPr>
        <w:spacing w:line="278" w:lineRule="auto"/>
      </w:pPr>
      <w:r w:rsidRPr="00E15D9A">
        <w:rPr>
          <w:rFonts w:ascii="Segoe UI Emoji" w:hAnsi="Segoe UI Emoji" w:cs="Segoe UI Emoji"/>
        </w:rPr>
        <w:t>ℹ️</w:t>
      </w:r>
      <w:r w:rsidRPr="00796D78">
        <w:t xml:space="preserve"> Pour plus d’informations sur les </w:t>
      </w:r>
      <w:r w:rsidRPr="00E15D9A">
        <w:rPr>
          <w:b/>
          <w:bCs/>
        </w:rPr>
        <w:t>franchises</w:t>
      </w:r>
      <w:r w:rsidRPr="00796D78">
        <w:t>, </w:t>
      </w:r>
      <w:r w:rsidRPr="00E15D9A">
        <w:rPr>
          <w:b/>
          <w:bCs/>
        </w:rPr>
        <w:t>plafonds</w:t>
      </w:r>
      <w:r w:rsidRPr="00796D78">
        <w:t> et </w:t>
      </w:r>
      <w:r w:rsidRPr="00E15D9A">
        <w:rPr>
          <w:b/>
          <w:bCs/>
        </w:rPr>
        <w:t>délais d’attente</w:t>
      </w:r>
      <w:r w:rsidRPr="00796D78">
        <w:t>, une brochure explicative sera disponible à partir de </w:t>
      </w:r>
      <w:r w:rsidRPr="00E15D9A">
        <w:rPr>
          <w:b/>
          <w:bCs/>
        </w:rPr>
        <w:t>septembre</w:t>
      </w:r>
      <w:r w:rsidRPr="00796D78">
        <w:t> sur le site du </w:t>
      </w:r>
      <w:r w:rsidRPr="00E15D9A">
        <w:rPr>
          <w:b/>
          <w:bCs/>
        </w:rPr>
        <w:t>SSC</w:t>
      </w:r>
    </w:p>
    <w:p w14:paraId="097E0F55" w14:textId="77777777" w:rsidR="008D01DD" w:rsidRPr="00097AE9" w:rsidRDefault="008D01DD" w:rsidP="008D01DD">
      <w:pPr>
        <w:pStyle w:val="Paragraphedeliste"/>
        <w:numPr>
          <w:ilvl w:val="0"/>
          <w:numId w:val="8"/>
        </w:numPr>
        <w:spacing w:after="0" w:line="260" w:lineRule="exact"/>
        <w:rPr>
          <w:b/>
          <w:bCs/>
          <w:u w:val="single"/>
        </w:rPr>
      </w:pPr>
      <w:r w:rsidRPr="00097AE9">
        <w:rPr>
          <w:b/>
          <w:bCs/>
          <w:u w:val="single"/>
        </w:rPr>
        <w:t>Plan ambulatoire</w:t>
      </w:r>
    </w:p>
    <w:p w14:paraId="441EEEAA" w14:textId="77777777" w:rsidR="008D01DD" w:rsidRDefault="008D01DD" w:rsidP="008D01DD"/>
    <w:tbl>
      <w:tblPr>
        <w:tblStyle w:val="Grilledutableau"/>
        <w:tblW w:w="0" w:type="auto"/>
        <w:tblLook w:val="04A0" w:firstRow="1" w:lastRow="0" w:firstColumn="1" w:lastColumn="0" w:noHBand="0" w:noVBand="1"/>
      </w:tblPr>
      <w:tblGrid>
        <w:gridCol w:w="5926"/>
        <w:gridCol w:w="3090"/>
      </w:tblGrid>
      <w:tr w:rsidR="008D01DD" w14:paraId="0519FCB6" w14:textId="77777777" w:rsidTr="00B51190">
        <w:tc>
          <w:tcPr>
            <w:tcW w:w="6208" w:type="dxa"/>
            <w:tcBorders>
              <w:top w:val="single" w:sz="4" w:space="0" w:color="auto"/>
              <w:left w:val="single" w:sz="4" w:space="0" w:color="auto"/>
              <w:bottom w:val="single" w:sz="4" w:space="0" w:color="auto"/>
            </w:tcBorders>
            <w:shd w:val="clear" w:color="auto" w:fill="63A4F7"/>
          </w:tcPr>
          <w:p w14:paraId="71B6CA36" w14:textId="77777777" w:rsidR="008D01DD" w:rsidRDefault="008D01DD" w:rsidP="00B51190"/>
        </w:tc>
        <w:tc>
          <w:tcPr>
            <w:tcW w:w="3207" w:type="dxa"/>
            <w:tcBorders>
              <w:top w:val="single" w:sz="4" w:space="0" w:color="auto"/>
              <w:bottom w:val="single" w:sz="4" w:space="0" w:color="auto"/>
            </w:tcBorders>
            <w:shd w:val="clear" w:color="auto" w:fill="63A4F7"/>
          </w:tcPr>
          <w:p w14:paraId="0C787B2C" w14:textId="77777777" w:rsidR="008D01DD" w:rsidRDefault="008D01DD" w:rsidP="00B51190">
            <w:r>
              <w:t>Prime annuelle par personne</w:t>
            </w:r>
          </w:p>
        </w:tc>
      </w:tr>
      <w:tr w:rsidR="008D01DD" w14:paraId="158EB5FE" w14:textId="77777777" w:rsidTr="00B51190">
        <w:tc>
          <w:tcPr>
            <w:tcW w:w="6208" w:type="dxa"/>
            <w:tcBorders>
              <w:top w:val="single" w:sz="4" w:space="0" w:color="auto"/>
            </w:tcBorders>
          </w:tcPr>
          <w:p w14:paraId="51008EA9" w14:textId="77777777" w:rsidR="008D01DD" w:rsidRDefault="008D01DD" w:rsidP="00B51190"/>
        </w:tc>
        <w:tc>
          <w:tcPr>
            <w:tcW w:w="3207" w:type="dxa"/>
            <w:tcBorders>
              <w:top w:val="single" w:sz="4" w:space="0" w:color="auto"/>
            </w:tcBorders>
          </w:tcPr>
          <w:p w14:paraId="1D6DBA3F" w14:textId="77777777" w:rsidR="008D01DD" w:rsidRDefault="008D01DD" w:rsidP="00B51190">
            <w:pPr>
              <w:jc w:val="center"/>
            </w:pPr>
          </w:p>
        </w:tc>
      </w:tr>
      <w:tr w:rsidR="008D01DD" w14:paraId="5A98E267" w14:textId="77777777" w:rsidTr="00B51190">
        <w:tc>
          <w:tcPr>
            <w:tcW w:w="6208" w:type="dxa"/>
          </w:tcPr>
          <w:p w14:paraId="1EE8801B" w14:textId="77777777" w:rsidR="008D01DD" w:rsidRDefault="008D01DD" w:rsidP="00B51190">
            <w:r>
              <w:t>Adulte</w:t>
            </w:r>
          </w:p>
        </w:tc>
        <w:tc>
          <w:tcPr>
            <w:tcW w:w="3207" w:type="dxa"/>
          </w:tcPr>
          <w:p w14:paraId="58875370" w14:textId="77777777" w:rsidR="008D01DD" w:rsidRDefault="008D01DD" w:rsidP="00B51190">
            <w:pPr>
              <w:jc w:val="center"/>
            </w:pPr>
            <w:r>
              <w:t>418,24 €</w:t>
            </w:r>
          </w:p>
        </w:tc>
      </w:tr>
      <w:tr w:rsidR="008D01DD" w14:paraId="2DD7A68F" w14:textId="77777777" w:rsidTr="00B51190">
        <w:tc>
          <w:tcPr>
            <w:tcW w:w="6208" w:type="dxa"/>
          </w:tcPr>
          <w:p w14:paraId="363266C8" w14:textId="77777777" w:rsidR="008D01DD" w:rsidRPr="008D01DD" w:rsidRDefault="008D01DD" w:rsidP="00B51190">
            <w:pPr>
              <w:rPr>
                <w:lang w:val="fr-BE"/>
              </w:rPr>
            </w:pPr>
            <w:r w:rsidRPr="008D01DD">
              <w:rPr>
                <w:lang w:val="fr-BE"/>
              </w:rPr>
              <w:t>Enfant ( jusqu’à 24 ans compris et domicilié avec l’assuré principal</w:t>
            </w:r>
          </w:p>
        </w:tc>
        <w:tc>
          <w:tcPr>
            <w:tcW w:w="3207" w:type="dxa"/>
          </w:tcPr>
          <w:p w14:paraId="469DC692" w14:textId="77777777" w:rsidR="008D01DD" w:rsidRDefault="008D01DD" w:rsidP="00B51190">
            <w:pPr>
              <w:jc w:val="center"/>
            </w:pPr>
            <w:r>
              <w:t>273,96 €</w:t>
            </w:r>
          </w:p>
        </w:tc>
      </w:tr>
    </w:tbl>
    <w:p w14:paraId="451D756B" w14:textId="77777777" w:rsidR="008D01DD" w:rsidRDefault="008D01DD" w:rsidP="008D01DD"/>
    <w:p w14:paraId="162E6FED" w14:textId="77777777" w:rsidR="008D01DD" w:rsidRPr="00097AE9" w:rsidRDefault="008D01DD" w:rsidP="008D01DD">
      <w:pPr>
        <w:pStyle w:val="Paragraphedeliste"/>
        <w:numPr>
          <w:ilvl w:val="0"/>
          <w:numId w:val="8"/>
        </w:numPr>
        <w:spacing w:after="0" w:line="260" w:lineRule="exact"/>
        <w:rPr>
          <w:b/>
          <w:bCs/>
          <w:u w:val="single"/>
        </w:rPr>
      </w:pPr>
      <w:r w:rsidRPr="00097AE9">
        <w:rPr>
          <w:b/>
          <w:bCs/>
          <w:u w:val="single"/>
        </w:rPr>
        <w:t>Plan dentaire</w:t>
      </w:r>
    </w:p>
    <w:p w14:paraId="0E8899B6" w14:textId="77777777" w:rsidR="008D01DD" w:rsidRDefault="008D01DD" w:rsidP="008D01DD"/>
    <w:tbl>
      <w:tblPr>
        <w:tblStyle w:val="Grilledutableau"/>
        <w:tblW w:w="0" w:type="auto"/>
        <w:tblLook w:val="04A0" w:firstRow="1" w:lastRow="0" w:firstColumn="1" w:lastColumn="0" w:noHBand="0" w:noVBand="1"/>
      </w:tblPr>
      <w:tblGrid>
        <w:gridCol w:w="5926"/>
        <w:gridCol w:w="3090"/>
      </w:tblGrid>
      <w:tr w:rsidR="008D01DD" w14:paraId="007B116F" w14:textId="77777777" w:rsidTr="00B51190">
        <w:tc>
          <w:tcPr>
            <w:tcW w:w="6208" w:type="dxa"/>
            <w:tcBorders>
              <w:top w:val="single" w:sz="4" w:space="0" w:color="auto"/>
              <w:left w:val="single" w:sz="4" w:space="0" w:color="auto"/>
              <w:bottom w:val="single" w:sz="4" w:space="0" w:color="auto"/>
            </w:tcBorders>
            <w:shd w:val="clear" w:color="auto" w:fill="63A4F7"/>
          </w:tcPr>
          <w:p w14:paraId="297DA0F4" w14:textId="77777777" w:rsidR="008D01DD" w:rsidRDefault="008D01DD" w:rsidP="00B51190"/>
        </w:tc>
        <w:tc>
          <w:tcPr>
            <w:tcW w:w="3207" w:type="dxa"/>
            <w:tcBorders>
              <w:top w:val="single" w:sz="4" w:space="0" w:color="auto"/>
              <w:bottom w:val="single" w:sz="4" w:space="0" w:color="auto"/>
            </w:tcBorders>
            <w:shd w:val="clear" w:color="auto" w:fill="63A4F7"/>
          </w:tcPr>
          <w:p w14:paraId="53946F34" w14:textId="77777777" w:rsidR="008D01DD" w:rsidRDefault="008D01DD" w:rsidP="00B51190">
            <w:r>
              <w:t>Prime annuelle par personne</w:t>
            </w:r>
          </w:p>
        </w:tc>
      </w:tr>
      <w:tr w:rsidR="008D01DD" w14:paraId="487EAB4D" w14:textId="77777777" w:rsidTr="00B51190">
        <w:tc>
          <w:tcPr>
            <w:tcW w:w="6208" w:type="dxa"/>
            <w:tcBorders>
              <w:top w:val="single" w:sz="4" w:space="0" w:color="auto"/>
            </w:tcBorders>
          </w:tcPr>
          <w:p w14:paraId="0C588640" w14:textId="77777777" w:rsidR="008D01DD" w:rsidRDefault="008D01DD" w:rsidP="00B51190"/>
        </w:tc>
        <w:tc>
          <w:tcPr>
            <w:tcW w:w="3207" w:type="dxa"/>
            <w:tcBorders>
              <w:top w:val="single" w:sz="4" w:space="0" w:color="auto"/>
            </w:tcBorders>
          </w:tcPr>
          <w:p w14:paraId="3B22FE33" w14:textId="77777777" w:rsidR="008D01DD" w:rsidRDefault="008D01DD" w:rsidP="00B51190">
            <w:pPr>
              <w:jc w:val="center"/>
            </w:pPr>
          </w:p>
        </w:tc>
      </w:tr>
      <w:tr w:rsidR="008D01DD" w14:paraId="3376EA8F" w14:textId="77777777" w:rsidTr="00B51190">
        <w:tc>
          <w:tcPr>
            <w:tcW w:w="6208" w:type="dxa"/>
          </w:tcPr>
          <w:p w14:paraId="3E7E971E" w14:textId="77777777" w:rsidR="008D01DD" w:rsidRDefault="008D01DD" w:rsidP="00B51190">
            <w:r>
              <w:t>Adulte</w:t>
            </w:r>
          </w:p>
        </w:tc>
        <w:tc>
          <w:tcPr>
            <w:tcW w:w="3207" w:type="dxa"/>
          </w:tcPr>
          <w:p w14:paraId="19783431" w14:textId="77777777" w:rsidR="008D01DD" w:rsidRDefault="008D01DD" w:rsidP="00B51190">
            <w:pPr>
              <w:jc w:val="center"/>
            </w:pPr>
            <w:r>
              <w:t>184,21 €</w:t>
            </w:r>
          </w:p>
        </w:tc>
      </w:tr>
      <w:tr w:rsidR="008D01DD" w14:paraId="7E2CA35C" w14:textId="77777777" w:rsidTr="00B51190">
        <w:tc>
          <w:tcPr>
            <w:tcW w:w="6208" w:type="dxa"/>
          </w:tcPr>
          <w:p w14:paraId="7411309C" w14:textId="77777777" w:rsidR="008D01DD" w:rsidRPr="008D01DD" w:rsidRDefault="008D01DD" w:rsidP="00B51190">
            <w:pPr>
              <w:rPr>
                <w:lang w:val="fr-BE"/>
              </w:rPr>
            </w:pPr>
            <w:r w:rsidRPr="008D01DD">
              <w:rPr>
                <w:lang w:val="fr-BE"/>
              </w:rPr>
              <w:t>Enfant ( jusqu’à 24 ans compris et domicilié avec l’assuré principal</w:t>
            </w:r>
          </w:p>
        </w:tc>
        <w:tc>
          <w:tcPr>
            <w:tcW w:w="3207" w:type="dxa"/>
          </w:tcPr>
          <w:p w14:paraId="5282C782" w14:textId="77777777" w:rsidR="008D01DD" w:rsidRDefault="008D01DD" w:rsidP="00B51190">
            <w:pPr>
              <w:jc w:val="center"/>
            </w:pPr>
            <w:r>
              <w:t>120,66 €</w:t>
            </w:r>
          </w:p>
        </w:tc>
      </w:tr>
    </w:tbl>
    <w:p w14:paraId="5EE033EF" w14:textId="77777777" w:rsidR="006B13A1" w:rsidRDefault="006B13A1" w:rsidP="002276BA">
      <w:pPr>
        <w:rPr>
          <w:rFonts w:asciiTheme="majorHAnsi" w:eastAsiaTheme="majorEastAsia" w:hAnsiTheme="majorHAnsi" w:cstheme="majorBidi"/>
          <w:b/>
          <w:bCs/>
          <w:color w:val="ED7D31" w:themeColor="accent2"/>
          <w:sz w:val="36"/>
          <w:szCs w:val="36"/>
        </w:rPr>
      </w:pPr>
    </w:p>
    <w:p w14:paraId="49347099" w14:textId="77777777" w:rsidR="006B13A1" w:rsidRPr="006B13A1" w:rsidRDefault="006B13A1" w:rsidP="002276BA">
      <w:pPr>
        <w:rPr>
          <w:rFonts w:asciiTheme="majorHAnsi" w:eastAsiaTheme="majorEastAsia" w:hAnsiTheme="majorHAnsi" w:cstheme="majorBidi"/>
          <w:b/>
          <w:bCs/>
          <w:color w:val="ED7D31" w:themeColor="accent2"/>
          <w:sz w:val="36"/>
          <w:szCs w:val="36"/>
        </w:rPr>
      </w:pPr>
    </w:p>
    <w:sectPr w:rsidR="006B13A1" w:rsidRPr="006B13A1">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7507F" w14:textId="77777777" w:rsidR="00CB50C8" w:rsidRDefault="00CB50C8" w:rsidP="009201BF">
      <w:pPr>
        <w:spacing w:after="0" w:line="240" w:lineRule="auto"/>
      </w:pPr>
      <w:r>
        <w:separator/>
      </w:r>
    </w:p>
  </w:endnote>
  <w:endnote w:type="continuationSeparator" w:id="0">
    <w:p w14:paraId="44482562" w14:textId="77777777" w:rsidR="00CB50C8" w:rsidRDefault="00CB50C8" w:rsidP="00920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2FFE0" w14:textId="77777777" w:rsidR="00CB50C8" w:rsidRDefault="00CB50C8" w:rsidP="009201BF">
      <w:pPr>
        <w:spacing w:after="0" w:line="240" w:lineRule="auto"/>
      </w:pPr>
      <w:r>
        <w:separator/>
      </w:r>
    </w:p>
  </w:footnote>
  <w:footnote w:type="continuationSeparator" w:id="0">
    <w:p w14:paraId="138B408E" w14:textId="77777777" w:rsidR="00CB50C8" w:rsidRDefault="00CB50C8" w:rsidP="00920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F5941" w14:textId="7033A79E" w:rsidR="00D72D15" w:rsidRDefault="00D72D15">
    <w:pPr>
      <w:pStyle w:val="En-tte"/>
    </w:pPr>
    <w:r>
      <w:rPr>
        <w:noProof/>
      </w:rPr>
      <mc:AlternateContent>
        <mc:Choice Requires="wps">
          <w:drawing>
            <wp:anchor distT="0" distB="0" distL="0" distR="0" simplePos="0" relativeHeight="251659264" behindDoc="0" locked="0" layoutInCell="1" allowOverlap="1" wp14:anchorId="08B23996" wp14:editId="2825ABEF">
              <wp:simplePos x="635" y="635"/>
              <wp:positionH relativeFrom="page">
                <wp:align>center</wp:align>
              </wp:positionH>
              <wp:positionV relativeFrom="page">
                <wp:align>top</wp:align>
              </wp:positionV>
              <wp:extent cx="823595" cy="357505"/>
              <wp:effectExtent l="0" t="0" r="14605" b="4445"/>
              <wp:wrapNone/>
              <wp:docPr id="498391145" name="Zone de texte 2" descr="SFPD-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23595" cy="357505"/>
                      </a:xfrm>
                      <a:prstGeom prst="rect">
                        <a:avLst/>
                      </a:prstGeom>
                      <a:noFill/>
                      <a:ln>
                        <a:noFill/>
                      </a:ln>
                    </wps:spPr>
                    <wps:txbx>
                      <w:txbxContent>
                        <w:p w14:paraId="2EABFC8E" w14:textId="17049FDE" w:rsidR="00D72D15" w:rsidRPr="00D72D15" w:rsidRDefault="00D72D15" w:rsidP="00D72D15">
                          <w:pPr>
                            <w:spacing w:after="0"/>
                            <w:rPr>
                              <w:rFonts w:ascii="Calibri" w:eastAsia="Calibri" w:hAnsi="Calibri" w:cs="Calibri"/>
                              <w:noProof/>
                              <w:color w:val="008000"/>
                              <w:sz w:val="20"/>
                              <w:szCs w:val="20"/>
                            </w:rPr>
                          </w:pPr>
                          <w:r w:rsidRPr="00D72D15">
                            <w:rPr>
                              <w:rFonts w:ascii="Calibri" w:eastAsia="Calibri" w:hAnsi="Calibri" w:cs="Calibri"/>
                              <w:noProof/>
                              <w:color w:val="008000"/>
                              <w:sz w:val="20"/>
                              <w:szCs w:val="20"/>
                            </w:rPr>
                            <w:t>SFPD-Restricted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B23996" id="_x0000_t202" coordsize="21600,21600" o:spt="202" path="m,l,21600r21600,l21600,xe">
              <v:stroke joinstyle="miter"/>
              <v:path gradientshapeok="t" o:connecttype="rect"/>
            </v:shapetype>
            <v:shape id="Zone de texte 2" o:spid="_x0000_s1026" type="#_x0000_t202" alt="SFPD-Restricted" style="position:absolute;margin-left:0;margin-top:0;width:64.8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" filled="f" stroked="f">
              <v:fill o:detectmouseclick="t"/>
              <v:textbox style="mso-fit-shape-to-text:t" inset="0,15pt,0,0">
                <w:txbxContent>
                  <w:p w14:paraId="2EABFC8E" w14:textId="17049FDE" w:rsidR="00D72D15" w:rsidRPr="00D72D15" w:rsidRDefault="00D72D15" w:rsidP="00D72D15">
                    <w:pPr>
                      <w:spacing w:after="0"/>
                      <w:rPr>
                        <w:rFonts w:ascii="Calibri" w:eastAsia="Calibri" w:hAnsi="Calibri" w:cs="Calibri"/>
                        <w:noProof/>
                        <w:color w:val="008000"/>
                        <w:sz w:val="20"/>
                        <w:szCs w:val="20"/>
                      </w:rPr>
                    </w:pPr>
                    <w:r w:rsidRPr="00D72D15">
                      <w:rPr>
                        <w:rFonts w:ascii="Calibri" w:eastAsia="Calibri" w:hAnsi="Calibri" w:cs="Calibri"/>
                        <w:noProof/>
                        <w:color w:val="008000"/>
                        <w:sz w:val="20"/>
                        <w:szCs w:val="20"/>
                      </w:rPr>
                      <w:t>SFPD-Restricted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51720" w14:textId="1E865492" w:rsidR="00D72D15" w:rsidRDefault="00D72D15">
    <w:pPr>
      <w:pStyle w:val="En-tte"/>
    </w:pPr>
    <w:r>
      <w:rPr>
        <w:noProof/>
      </w:rPr>
      <mc:AlternateContent>
        <mc:Choice Requires="wps">
          <w:drawing>
            <wp:anchor distT="0" distB="0" distL="0" distR="0" simplePos="0" relativeHeight="251660288" behindDoc="0" locked="0" layoutInCell="1" allowOverlap="1" wp14:anchorId="226728DA" wp14:editId="214B7051">
              <wp:simplePos x="914400" y="449580"/>
              <wp:positionH relativeFrom="page">
                <wp:align>center</wp:align>
              </wp:positionH>
              <wp:positionV relativeFrom="page">
                <wp:align>top</wp:align>
              </wp:positionV>
              <wp:extent cx="823595" cy="357505"/>
              <wp:effectExtent l="0" t="0" r="14605" b="4445"/>
              <wp:wrapNone/>
              <wp:docPr id="1759784685" name="Zone de texte 3" descr="SFPD-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23595" cy="357505"/>
                      </a:xfrm>
                      <a:prstGeom prst="rect">
                        <a:avLst/>
                      </a:prstGeom>
                      <a:noFill/>
                      <a:ln>
                        <a:noFill/>
                      </a:ln>
                    </wps:spPr>
                    <wps:txbx>
                      <w:txbxContent>
                        <w:p w14:paraId="41202262" w14:textId="08D3D4E8" w:rsidR="00D72D15" w:rsidRPr="00D72D15" w:rsidRDefault="00D72D15" w:rsidP="00D72D15">
                          <w:pPr>
                            <w:spacing w:after="0"/>
                            <w:rPr>
                              <w:rFonts w:ascii="Calibri" w:eastAsia="Calibri" w:hAnsi="Calibri" w:cs="Calibri"/>
                              <w:noProof/>
                              <w:color w:val="008000"/>
                              <w:sz w:val="20"/>
                              <w:szCs w:val="20"/>
                            </w:rPr>
                          </w:pPr>
                          <w:r w:rsidRPr="00D72D15">
                            <w:rPr>
                              <w:rFonts w:ascii="Calibri" w:eastAsia="Calibri" w:hAnsi="Calibri" w:cs="Calibri"/>
                              <w:noProof/>
                              <w:color w:val="008000"/>
                              <w:sz w:val="20"/>
                              <w:szCs w:val="20"/>
                            </w:rPr>
                            <w:t>SFPD-Restricted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6728DA" id="_x0000_t202" coordsize="21600,21600" o:spt="202" path="m,l,21600r21600,l21600,xe">
              <v:stroke joinstyle="miter"/>
              <v:path gradientshapeok="t" o:connecttype="rect"/>
            </v:shapetype>
            <v:shape id="Zone de texte 3" o:spid="_x0000_s1027" type="#_x0000_t202" alt="SFPD-Restricted" style="position:absolute;margin-left:0;margin-top:0;width:64.8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" filled="f" stroked="f">
              <v:fill o:detectmouseclick="t"/>
              <v:textbox style="mso-fit-shape-to-text:t" inset="0,15pt,0,0">
                <w:txbxContent>
                  <w:p w14:paraId="41202262" w14:textId="08D3D4E8" w:rsidR="00D72D15" w:rsidRPr="00D72D15" w:rsidRDefault="00D72D15" w:rsidP="00D72D15">
                    <w:pPr>
                      <w:spacing w:after="0"/>
                      <w:rPr>
                        <w:rFonts w:ascii="Calibri" w:eastAsia="Calibri" w:hAnsi="Calibri" w:cs="Calibri"/>
                        <w:noProof/>
                        <w:color w:val="008000"/>
                        <w:sz w:val="20"/>
                        <w:szCs w:val="20"/>
                      </w:rPr>
                    </w:pPr>
                    <w:r w:rsidRPr="00D72D15">
                      <w:rPr>
                        <w:rFonts w:ascii="Calibri" w:eastAsia="Calibri" w:hAnsi="Calibri" w:cs="Calibri"/>
                        <w:noProof/>
                        <w:color w:val="008000"/>
                        <w:sz w:val="20"/>
                        <w:szCs w:val="20"/>
                      </w:rPr>
                      <w:t>SFPD-Restricted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CB007" w14:textId="2944204A" w:rsidR="00D72D15" w:rsidRDefault="00D72D15">
    <w:pPr>
      <w:pStyle w:val="En-tte"/>
    </w:pPr>
    <w:r>
      <w:rPr>
        <w:noProof/>
      </w:rPr>
      <mc:AlternateContent>
        <mc:Choice Requires="wps">
          <w:drawing>
            <wp:anchor distT="0" distB="0" distL="0" distR="0" simplePos="0" relativeHeight="251658240" behindDoc="0" locked="0" layoutInCell="1" allowOverlap="1" wp14:anchorId="35978901" wp14:editId="274999A8">
              <wp:simplePos x="635" y="635"/>
              <wp:positionH relativeFrom="page">
                <wp:align>center</wp:align>
              </wp:positionH>
              <wp:positionV relativeFrom="page">
                <wp:align>top</wp:align>
              </wp:positionV>
              <wp:extent cx="823595" cy="357505"/>
              <wp:effectExtent l="0" t="0" r="14605" b="4445"/>
              <wp:wrapNone/>
              <wp:docPr id="1717245374" name="Zone de texte 1" descr="SFPD-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23595" cy="357505"/>
                      </a:xfrm>
                      <a:prstGeom prst="rect">
                        <a:avLst/>
                      </a:prstGeom>
                      <a:noFill/>
                      <a:ln>
                        <a:noFill/>
                      </a:ln>
                    </wps:spPr>
                    <wps:txbx>
                      <w:txbxContent>
                        <w:p w14:paraId="6BFA5253" w14:textId="7D353DB9" w:rsidR="00D72D15" w:rsidRPr="00D72D15" w:rsidRDefault="00D72D15" w:rsidP="00D72D15">
                          <w:pPr>
                            <w:spacing w:after="0"/>
                            <w:rPr>
                              <w:rFonts w:ascii="Calibri" w:eastAsia="Calibri" w:hAnsi="Calibri" w:cs="Calibri"/>
                              <w:noProof/>
                              <w:color w:val="008000"/>
                              <w:sz w:val="20"/>
                              <w:szCs w:val="20"/>
                            </w:rPr>
                          </w:pPr>
                          <w:r w:rsidRPr="00D72D15">
                            <w:rPr>
                              <w:rFonts w:ascii="Calibri" w:eastAsia="Calibri" w:hAnsi="Calibri" w:cs="Calibri"/>
                              <w:noProof/>
                              <w:color w:val="008000"/>
                              <w:sz w:val="20"/>
                              <w:szCs w:val="20"/>
                            </w:rPr>
                            <w:t>SFPD-Restricted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978901" id="_x0000_t202" coordsize="21600,21600" o:spt="202" path="m,l,21600r21600,l21600,xe">
              <v:stroke joinstyle="miter"/>
              <v:path gradientshapeok="t" o:connecttype="rect"/>
            </v:shapetype>
            <v:shape id="Zone de texte 1" o:spid="_x0000_s1028" type="#_x0000_t202" alt="SFPD-Restricted" style="position:absolute;margin-left:0;margin-top:0;width:64.8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" filled="f" stroked="f">
              <v:fill o:detectmouseclick="t"/>
              <v:textbox style="mso-fit-shape-to-text:t" inset="0,15pt,0,0">
                <w:txbxContent>
                  <w:p w14:paraId="6BFA5253" w14:textId="7D353DB9" w:rsidR="00D72D15" w:rsidRPr="00D72D15" w:rsidRDefault="00D72D15" w:rsidP="00D72D15">
                    <w:pPr>
                      <w:spacing w:after="0"/>
                      <w:rPr>
                        <w:rFonts w:ascii="Calibri" w:eastAsia="Calibri" w:hAnsi="Calibri" w:cs="Calibri"/>
                        <w:noProof/>
                        <w:color w:val="008000"/>
                        <w:sz w:val="20"/>
                        <w:szCs w:val="20"/>
                      </w:rPr>
                    </w:pPr>
                    <w:r w:rsidRPr="00D72D15">
                      <w:rPr>
                        <w:rFonts w:ascii="Calibri" w:eastAsia="Calibri" w:hAnsi="Calibri" w:cs="Calibri"/>
                        <w:noProof/>
                        <w:color w:val="008000"/>
                        <w:sz w:val="20"/>
                        <w:szCs w:val="20"/>
                      </w:rPr>
                      <w:t>SFPD-Restricted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93806"/>
    <w:multiLevelType w:val="hybridMultilevel"/>
    <w:tmpl w:val="6FA0BDA8"/>
    <w:lvl w:ilvl="0" w:tplc="CC0A4A1C">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8442546"/>
    <w:multiLevelType w:val="hybridMultilevel"/>
    <w:tmpl w:val="81923E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C5365C1"/>
    <w:multiLevelType w:val="hybridMultilevel"/>
    <w:tmpl w:val="D81ADD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1E63C31"/>
    <w:multiLevelType w:val="hybridMultilevel"/>
    <w:tmpl w:val="41B059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7155E06"/>
    <w:multiLevelType w:val="hybridMultilevel"/>
    <w:tmpl w:val="A0A8C1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67D5396"/>
    <w:multiLevelType w:val="hybridMultilevel"/>
    <w:tmpl w:val="CCA43DD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9F3171D"/>
    <w:multiLevelType w:val="hybridMultilevel"/>
    <w:tmpl w:val="C07AB9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BF0514E"/>
    <w:multiLevelType w:val="hybridMultilevel"/>
    <w:tmpl w:val="4E42CBA0"/>
    <w:lvl w:ilvl="0" w:tplc="080C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63241525"/>
    <w:multiLevelType w:val="hybridMultilevel"/>
    <w:tmpl w:val="AB4629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44A29FA"/>
    <w:multiLevelType w:val="hybridMultilevel"/>
    <w:tmpl w:val="0A54B8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9954F07"/>
    <w:multiLevelType w:val="hybridMultilevel"/>
    <w:tmpl w:val="084E07D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45821495">
    <w:abstractNumId w:val="5"/>
  </w:num>
  <w:num w:numId="2" w16cid:durableId="728070336">
    <w:abstractNumId w:val="6"/>
  </w:num>
  <w:num w:numId="3" w16cid:durableId="1951010432">
    <w:abstractNumId w:val="2"/>
  </w:num>
  <w:num w:numId="4" w16cid:durableId="87047791">
    <w:abstractNumId w:val="0"/>
  </w:num>
  <w:num w:numId="5" w16cid:durableId="1177421476">
    <w:abstractNumId w:val="1"/>
  </w:num>
  <w:num w:numId="6" w16cid:durableId="1078331368">
    <w:abstractNumId w:val="4"/>
  </w:num>
  <w:num w:numId="7" w16cid:durableId="495806593">
    <w:abstractNumId w:val="8"/>
  </w:num>
  <w:num w:numId="8" w16cid:durableId="2139107260">
    <w:abstractNumId w:val="10"/>
  </w:num>
  <w:num w:numId="9" w16cid:durableId="1740131211">
    <w:abstractNumId w:val="9"/>
  </w:num>
  <w:num w:numId="10" w16cid:durableId="1786001475">
    <w:abstractNumId w:val="7"/>
  </w:num>
  <w:num w:numId="11" w16cid:durableId="985359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4F"/>
    <w:rsid w:val="00033BC1"/>
    <w:rsid w:val="00085B94"/>
    <w:rsid w:val="0009225D"/>
    <w:rsid w:val="000C5E60"/>
    <w:rsid w:val="000D1629"/>
    <w:rsid w:val="000E0689"/>
    <w:rsid w:val="00105687"/>
    <w:rsid w:val="0011157A"/>
    <w:rsid w:val="00145FC1"/>
    <w:rsid w:val="0014641E"/>
    <w:rsid w:val="00153561"/>
    <w:rsid w:val="001643E3"/>
    <w:rsid w:val="001738EC"/>
    <w:rsid w:val="00187043"/>
    <w:rsid w:val="001B1AF6"/>
    <w:rsid w:val="001C3DB1"/>
    <w:rsid w:val="002276BA"/>
    <w:rsid w:val="002635A1"/>
    <w:rsid w:val="00275D54"/>
    <w:rsid w:val="00280692"/>
    <w:rsid w:val="002A30A2"/>
    <w:rsid w:val="002A5E5B"/>
    <w:rsid w:val="002B5FE0"/>
    <w:rsid w:val="002C3B9E"/>
    <w:rsid w:val="002C7549"/>
    <w:rsid w:val="002E2C3A"/>
    <w:rsid w:val="002E3CF2"/>
    <w:rsid w:val="002F0565"/>
    <w:rsid w:val="003351CC"/>
    <w:rsid w:val="003356AC"/>
    <w:rsid w:val="003559FB"/>
    <w:rsid w:val="00364BFC"/>
    <w:rsid w:val="00371428"/>
    <w:rsid w:val="00376AA9"/>
    <w:rsid w:val="003912CA"/>
    <w:rsid w:val="003976E7"/>
    <w:rsid w:val="003A7AE7"/>
    <w:rsid w:val="003B6B59"/>
    <w:rsid w:val="0041141A"/>
    <w:rsid w:val="004667A5"/>
    <w:rsid w:val="00481463"/>
    <w:rsid w:val="00492C49"/>
    <w:rsid w:val="004A4F22"/>
    <w:rsid w:val="004B501C"/>
    <w:rsid w:val="004B751E"/>
    <w:rsid w:val="004C5ECD"/>
    <w:rsid w:val="004E7EBD"/>
    <w:rsid w:val="004F7DB5"/>
    <w:rsid w:val="00504BAC"/>
    <w:rsid w:val="005402D2"/>
    <w:rsid w:val="00567F9F"/>
    <w:rsid w:val="005A33EA"/>
    <w:rsid w:val="005D6704"/>
    <w:rsid w:val="005E4D4E"/>
    <w:rsid w:val="005F2B0E"/>
    <w:rsid w:val="00680B95"/>
    <w:rsid w:val="006839C7"/>
    <w:rsid w:val="006A2AFB"/>
    <w:rsid w:val="006B13A1"/>
    <w:rsid w:val="006B6D81"/>
    <w:rsid w:val="006D2FA6"/>
    <w:rsid w:val="006E4C4C"/>
    <w:rsid w:val="006E5D49"/>
    <w:rsid w:val="006E6842"/>
    <w:rsid w:val="006F0AB3"/>
    <w:rsid w:val="00714E2C"/>
    <w:rsid w:val="00717B34"/>
    <w:rsid w:val="00723180"/>
    <w:rsid w:val="007577C2"/>
    <w:rsid w:val="00777F1A"/>
    <w:rsid w:val="00791B9D"/>
    <w:rsid w:val="007D0370"/>
    <w:rsid w:val="00807CFE"/>
    <w:rsid w:val="00823938"/>
    <w:rsid w:val="0085504D"/>
    <w:rsid w:val="0085555A"/>
    <w:rsid w:val="008563BA"/>
    <w:rsid w:val="008839FE"/>
    <w:rsid w:val="0089775E"/>
    <w:rsid w:val="008A15C2"/>
    <w:rsid w:val="008A44F9"/>
    <w:rsid w:val="008B2076"/>
    <w:rsid w:val="008B7D99"/>
    <w:rsid w:val="008C334D"/>
    <w:rsid w:val="008C38B6"/>
    <w:rsid w:val="008C6E36"/>
    <w:rsid w:val="008D01DD"/>
    <w:rsid w:val="008E1A4F"/>
    <w:rsid w:val="008F30B3"/>
    <w:rsid w:val="009056FE"/>
    <w:rsid w:val="00910AD8"/>
    <w:rsid w:val="00912804"/>
    <w:rsid w:val="00912B6C"/>
    <w:rsid w:val="0091478D"/>
    <w:rsid w:val="009161CE"/>
    <w:rsid w:val="009201BF"/>
    <w:rsid w:val="0092155C"/>
    <w:rsid w:val="0092370D"/>
    <w:rsid w:val="00993AA4"/>
    <w:rsid w:val="009B381F"/>
    <w:rsid w:val="009D0C0D"/>
    <w:rsid w:val="00A30A7E"/>
    <w:rsid w:val="00A3448B"/>
    <w:rsid w:val="00A4412B"/>
    <w:rsid w:val="00A6386B"/>
    <w:rsid w:val="00A644AE"/>
    <w:rsid w:val="00A656F1"/>
    <w:rsid w:val="00A90A91"/>
    <w:rsid w:val="00A92B0A"/>
    <w:rsid w:val="00AA5951"/>
    <w:rsid w:val="00AB63CB"/>
    <w:rsid w:val="00AC5E5B"/>
    <w:rsid w:val="00AF2F2C"/>
    <w:rsid w:val="00B049E4"/>
    <w:rsid w:val="00B84277"/>
    <w:rsid w:val="00B92D9D"/>
    <w:rsid w:val="00B97E3F"/>
    <w:rsid w:val="00BA50D1"/>
    <w:rsid w:val="00BB1E91"/>
    <w:rsid w:val="00BC0E38"/>
    <w:rsid w:val="00BE1795"/>
    <w:rsid w:val="00BE4548"/>
    <w:rsid w:val="00BE6DC9"/>
    <w:rsid w:val="00C03C82"/>
    <w:rsid w:val="00C31D89"/>
    <w:rsid w:val="00C40D69"/>
    <w:rsid w:val="00C60C1F"/>
    <w:rsid w:val="00CA2917"/>
    <w:rsid w:val="00CB50C8"/>
    <w:rsid w:val="00CE1637"/>
    <w:rsid w:val="00CE7F50"/>
    <w:rsid w:val="00CF0D48"/>
    <w:rsid w:val="00CF3558"/>
    <w:rsid w:val="00CF4C95"/>
    <w:rsid w:val="00D278E4"/>
    <w:rsid w:val="00D35F24"/>
    <w:rsid w:val="00D37361"/>
    <w:rsid w:val="00D43424"/>
    <w:rsid w:val="00D55715"/>
    <w:rsid w:val="00D72D15"/>
    <w:rsid w:val="00D82137"/>
    <w:rsid w:val="00D84378"/>
    <w:rsid w:val="00D847B1"/>
    <w:rsid w:val="00D90524"/>
    <w:rsid w:val="00D91C3E"/>
    <w:rsid w:val="00DC2F92"/>
    <w:rsid w:val="00DF691B"/>
    <w:rsid w:val="00E03245"/>
    <w:rsid w:val="00E15D9A"/>
    <w:rsid w:val="00E265B0"/>
    <w:rsid w:val="00E53D17"/>
    <w:rsid w:val="00E556B0"/>
    <w:rsid w:val="00E60F7D"/>
    <w:rsid w:val="00E74291"/>
    <w:rsid w:val="00EB1F4E"/>
    <w:rsid w:val="00EB7889"/>
    <w:rsid w:val="00EC18D6"/>
    <w:rsid w:val="00ED7A8F"/>
    <w:rsid w:val="00EE15CA"/>
    <w:rsid w:val="00EE6E79"/>
    <w:rsid w:val="00F27A42"/>
    <w:rsid w:val="00F33CEC"/>
    <w:rsid w:val="00F41FEE"/>
    <w:rsid w:val="00F521B3"/>
    <w:rsid w:val="00F54AAA"/>
    <w:rsid w:val="00F75C02"/>
    <w:rsid w:val="00FE613D"/>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A5FFB5"/>
  <w15:chartTrackingRefBased/>
  <w15:docId w15:val="{C9511EBB-710C-4127-97E4-6BE79758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C3D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31D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7D0370"/>
    <w:pPr>
      <w:ind w:left="720"/>
      <w:contextualSpacing/>
    </w:pPr>
  </w:style>
  <w:style w:type="character" w:customStyle="1" w:styleId="Titre1Car">
    <w:name w:val="Titre 1 Car"/>
    <w:basedOn w:val="Policepardfaut"/>
    <w:link w:val="Titre1"/>
    <w:uiPriority w:val="9"/>
    <w:rsid w:val="001C3DB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C31D89"/>
    <w:rPr>
      <w:rFonts w:asciiTheme="majorHAnsi" w:eastAsiaTheme="majorEastAsia" w:hAnsiTheme="majorHAnsi" w:cstheme="majorBidi"/>
      <w:color w:val="2F5496" w:themeColor="accent1" w:themeShade="BF"/>
      <w:sz w:val="26"/>
      <w:szCs w:val="26"/>
    </w:rPr>
  </w:style>
  <w:style w:type="character" w:customStyle="1" w:styleId="Stijl4">
    <w:name w:val="Stijl4"/>
    <w:basedOn w:val="Policepardfaut"/>
    <w:uiPriority w:val="17"/>
    <w:qFormat/>
    <w:rsid w:val="00D35F24"/>
    <w:rPr>
      <w:rFonts w:ascii="Arial" w:hAnsi="Arial"/>
      <w:bCs/>
      <w:sz w:val="20"/>
    </w:rPr>
  </w:style>
  <w:style w:type="paragraph" w:styleId="En-tte">
    <w:name w:val="header"/>
    <w:basedOn w:val="Normal"/>
    <w:link w:val="En-tteCar"/>
    <w:uiPriority w:val="99"/>
    <w:unhideWhenUsed/>
    <w:rsid w:val="009201BF"/>
    <w:pPr>
      <w:tabs>
        <w:tab w:val="center" w:pos="4513"/>
        <w:tab w:val="right" w:pos="9026"/>
      </w:tabs>
      <w:spacing w:after="0" w:line="240" w:lineRule="auto"/>
    </w:pPr>
  </w:style>
  <w:style w:type="character" w:customStyle="1" w:styleId="En-tteCar">
    <w:name w:val="En-tête Car"/>
    <w:basedOn w:val="Policepardfaut"/>
    <w:link w:val="En-tte"/>
    <w:uiPriority w:val="99"/>
    <w:rsid w:val="009201BF"/>
  </w:style>
  <w:style w:type="paragraph" w:styleId="Pieddepage">
    <w:name w:val="footer"/>
    <w:basedOn w:val="Normal"/>
    <w:link w:val="PieddepageCar"/>
    <w:uiPriority w:val="99"/>
    <w:unhideWhenUsed/>
    <w:rsid w:val="009201B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201BF"/>
  </w:style>
  <w:style w:type="table" w:styleId="Grilledutableau">
    <w:name w:val="Table Grid"/>
    <w:basedOn w:val="TableauNormal"/>
    <w:rsid w:val="004667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AC5E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C5E5B"/>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A6386B"/>
    <w:rPr>
      <w:color w:val="0563C1" w:themeColor="hyperlink"/>
      <w:u w:val="single"/>
    </w:rPr>
  </w:style>
  <w:style w:type="character" w:styleId="Mentionnonrsolue">
    <w:name w:val="Unresolved Mention"/>
    <w:basedOn w:val="Policepardfaut"/>
    <w:uiPriority w:val="99"/>
    <w:semiHidden/>
    <w:unhideWhenUsed/>
    <w:rsid w:val="00A6386B"/>
    <w:rPr>
      <w:color w:val="605E5C"/>
      <w:shd w:val="clear" w:color="auto" w:fill="E1DFDD"/>
    </w:rPr>
  </w:style>
  <w:style w:type="character" w:styleId="Lienhypertextesuivivisit">
    <w:name w:val="FollowedHyperlink"/>
    <w:basedOn w:val="Policepardfaut"/>
    <w:uiPriority w:val="99"/>
    <w:semiHidden/>
    <w:unhideWhenUsed/>
    <w:rsid w:val="002806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2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cgsd.fgov.be/assur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scgsd.fgov.be/assur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9b42982-40d1-49a6-834a-647efba30c56}" enabled="1" method="Standard" siteId="{66c008a4-b565-49a9-93c9-c1e64cad2e11}"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4714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Marie-Francoise Rappe (SFPD)</dc:creator>
  <cp:keywords/>
  <dc:description/>
  <cp:lastModifiedBy>Marie-Francoise Rappe (SFPD)</cp:lastModifiedBy>
  <cp:revision>6</cp:revision>
  <dcterms:created xsi:type="dcterms:W3CDTF">2025-07-14T13:58:00Z</dcterms:created>
  <dcterms:modified xsi:type="dcterms:W3CDTF">2025-09-17T10:02:00Z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665b15be,1db4d869,68e42eed</vt:lpwstr>
  </property>
  <property fmtid="{D5CDD505-2E9C-101B-9397-08002B2CF9AE}" pid="3" name="ClassificationContentMarkingHeaderFontProps">
    <vt:lpwstr>#008000,10,Calibri</vt:lpwstr>
  </property>
  <property fmtid="{D5CDD505-2E9C-101B-9397-08002B2CF9AE}" pid="4" name="ClassificationContentMarkingHeaderText">
    <vt:lpwstr>SFPD-Restricted</vt:lpwstr>
  </property>
</Properties>
</file>